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9B4" w:rsidRDefault="00A8387B">
      <w:pPr>
        <w:pBdr>
          <w:top w:val="none" w:sz="0" w:space="0" w:color="auto"/>
          <w:left w:val="none" w:sz="0" w:space="0" w:color="auto"/>
          <w:bottom w:val="none" w:sz="0" w:space="0" w:color="auto"/>
          <w:right w:val="none" w:sz="0" w:space="0" w:color="auto"/>
        </w:pBdr>
        <w:spacing w:after="0" w:line="259" w:lineRule="auto"/>
        <w:ind w:left="-1440"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330200</wp:posOffset>
                </wp:positionH>
                <wp:positionV relativeFrom="page">
                  <wp:posOffset>-1</wp:posOffset>
                </wp:positionV>
                <wp:extent cx="7112000" cy="10058400"/>
                <wp:effectExtent l="0" t="0" r="0" b="0"/>
                <wp:wrapTopAndBottom/>
                <wp:docPr id="19434" name="Group 19434"/>
                <wp:cNvGraphicFramePr/>
                <a:graphic xmlns:a="http://schemas.openxmlformats.org/drawingml/2006/main">
                  <a:graphicData uri="http://schemas.microsoft.com/office/word/2010/wordprocessingGroup">
                    <wpg:wgp>
                      <wpg:cNvGrpSpPr/>
                      <wpg:grpSpPr>
                        <a:xfrm>
                          <a:off x="0" y="0"/>
                          <a:ext cx="7112000" cy="10058400"/>
                          <a:chOff x="0" y="0"/>
                          <a:chExt cx="7112000" cy="10058400"/>
                        </a:xfrm>
                      </wpg:grpSpPr>
                      <wps:wsp>
                        <wps:cNvPr id="7" name="Rectangle 7"/>
                        <wps:cNvSpPr/>
                        <wps:spPr>
                          <a:xfrm>
                            <a:off x="1499235" y="9175700"/>
                            <a:ext cx="42144" cy="189937"/>
                          </a:xfrm>
                          <a:prstGeom prst="rect">
                            <a:avLst/>
                          </a:prstGeom>
                          <a:ln>
                            <a:noFill/>
                          </a:ln>
                        </wps:spPr>
                        <wps:txbx>
                          <w:txbxContent>
                            <w:p w:rsidR="002109B4" w:rsidRDefault="00A8387B">
                              <w:pPr>
                                <w:pBdr>
                                  <w:top w:val="none" w:sz="0" w:space="0" w:color="auto"/>
                                  <w:left w:val="none" w:sz="0" w:space="0" w:color="auto"/>
                                  <w:bottom w:val="none" w:sz="0" w:space="0" w:color="auto"/>
                                  <w:right w:val="none" w:sz="0" w:space="0" w:color="auto"/>
                                </w:pBd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7"/>
                          <a:stretch>
                            <a:fillRect/>
                          </a:stretch>
                        </pic:blipFill>
                        <pic:spPr>
                          <a:xfrm>
                            <a:off x="0" y="0"/>
                            <a:ext cx="7112000" cy="10058400"/>
                          </a:xfrm>
                          <a:prstGeom prst="rect">
                            <a:avLst/>
                          </a:prstGeom>
                        </pic:spPr>
                      </pic:pic>
                    </wpg:wgp>
                  </a:graphicData>
                </a:graphic>
              </wp:anchor>
            </w:drawing>
          </mc:Choice>
          <mc:Fallback xmlns:a="http://schemas.openxmlformats.org/drawingml/2006/main" xmlns="">
            <w:pict>
              <v:group id="Group 19434" style="width:560pt;height:792pt;position:absolute;mso-position-horizontal-relative:page;mso-position-horizontal:absolute;margin-left:26pt;mso-position-vertical-relative:page;margin-top:-0.00012207pt;" coordsize="71120,100584">
                <v:rect id="Rectangle 7" style="position:absolute;width:421;height:1899;left:14992;top:91757;" filled="f" stroked="f">
                  <v:textbox inset="0,0,0,0">
                    <w:txbxContent>
                      <w:p>
                        <w:pPr>
                          <w:pBdr>
                            <w:top w:val="none"/>
                            <w:left w:val="none"/>
                            <w:bottom w:val="none"/>
                            <w:right w:val="none"/>
                          </w:pBdr>
                          <w:spacing w:before="0" w:after="160" w:line="259" w:lineRule="auto"/>
                          <w:ind w:left="0" w:firstLine="0"/>
                        </w:pPr>
                        <w:r>
                          <w:rPr>
                            <w:rFonts w:cs="Calibri" w:hAnsi="Calibri" w:eastAsia="Calibri" w:ascii="Calibri"/>
                            <w:sz w:val="22"/>
                          </w:rPr>
                          <w:t xml:space="preserve"> </w:t>
                        </w:r>
                      </w:p>
                    </w:txbxContent>
                  </v:textbox>
                </v:rect>
                <v:shape id="Picture 9" style="position:absolute;width:71120;height:100584;left:0;top:0;" filled="f">
                  <v:imagedata r:id="rId10"/>
                </v:shape>
                <w10:wrap type="topAndBottom"/>
              </v:group>
            </w:pict>
          </mc:Fallback>
        </mc:AlternateContent>
      </w:r>
      <w:r>
        <w:rPr>
          <w:rFonts w:ascii="Calibri" w:eastAsia="Calibri" w:hAnsi="Calibri" w:cs="Calibri"/>
          <w:sz w:val="22"/>
        </w:rPr>
        <w:t xml:space="preserve"> </w:t>
      </w:r>
    </w:p>
    <w:p w:rsidR="002109B4" w:rsidRDefault="002109B4">
      <w:pPr>
        <w:sectPr w:rsidR="002109B4">
          <w:headerReference w:type="even" r:id="rId11"/>
          <w:headerReference w:type="default" r:id="rId12"/>
          <w:headerReference w:type="first" r:id="rId13"/>
          <w:pgSz w:w="12240" w:h="15840"/>
          <w:pgMar w:top="1440" w:right="1440" w:bottom="1440" w:left="1440" w:header="720" w:footer="720" w:gutter="0"/>
          <w:cols w:space="720"/>
        </w:sectPr>
      </w:pPr>
    </w:p>
    <w:p w:rsidR="002109B4" w:rsidRDefault="00A8387B">
      <w:pPr>
        <w:pBdr>
          <w:top w:val="none" w:sz="0" w:space="0" w:color="auto"/>
          <w:left w:val="none" w:sz="0" w:space="0" w:color="auto"/>
          <w:bottom w:val="none" w:sz="0" w:space="0" w:color="auto"/>
          <w:right w:val="none" w:sz="0" w:space="0" w:color="auto"/>
        </w:pBdr>
        <w:spacing w:after="0" w:line="259" w:lineRule="auto"/>
        <w:ind w:left="-1440" w:right="10800" w:firstLine="0"/>
      </w:pPr>
      <w:r>
        <w:rPr>
          <w:noProof/>
        </w:rPr>
        <w:lastRenderedPageBreak/>
        <w:drawing>
          <wp:anchor distT="0" distB="0" distL="114300" distR="114300" simplePos="0" relativeHeight="251659264" behindDoc="0" locked="0" layoutInCell="1" allowOverlap="0">
            <wp:simplePos x="0" y="0"/>
            <wp:positionH relativeFrom="page">
              <wp:posOffset>330200</wp:posOffset>
            </wp:positionH>
            <wp:positionV relativeFrom="page">
              <wp:posOffset>-1</wp:posOffset>
            </wp:positionV>
            <wp:extent cx="7112000" cy="10058400"/>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7112000" cy="10058400"/>
                    </a:xfrm>
                    <a:prstGeom prst="rect">
                      <a:avLst/>
                    </a:prstGeom>
                  </pic:spPr>
                </pic:pic>
              </a:graphicData>
            </a:graphic>
          </wp:anchor>
        </w:drawing>
      </w:r>
    </w:p>
    <w:p w:rsidR="002109B4" w:rsidRDefault="002109B4">
      <w:pPr>
        <w:sectPr w:rsidR="002109B4">
          <w:headerReference w:type="even" r:id="rId15"/>
          <w:headerReference w:type="default" r:id="rId16"/>
          <w:headerReference w:type="first" r:id="rId17"/>
          <w:pgSz w:w="12240" w:h="15840"/>
          <w:pgMar w:top="1440" w:right="1440" w:bottom="1440" w:left="1440" w:header="720" w:footer="720" w:gutter="0"/>
          <w:cols w:space="720"/>
        </w:sectPr>
      </w:pPr>
    </w:p>
    <w:p w:rsidR="002109B4" w:rsidRDefault="00A8387B">
      <w:pPr>
        <w:pBdr>
          <w:top w:val="none" w:sz="0" w:space="0" w:color="auto"/>
          <w:left w:val="none" w:sz="0" w:space="0" w:color="auto"/>
          <w:bottom w:val="none" w:sz="0" w:space="0" w:color="auto"/>
          <w:right w:val="none" w:sz="0" w:space="0" w:color="auto"/>
        </w:pBdr>
        <w:spacing w:after="141" w:line="259" w:lineRule="auto"/>
        <w:ind w:left="1788" w:firstLine="0"/>
        <w:jc w:val="center"/>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p>
    <w:p w:rsidR="002109B4" w:rsidRDefault="00A8387B">
      <w:pPr>
        <w:pBdr>
          <w:top w:val="none" w:sz="0" w:space="0" w:color="auto"/>
          <w:left w:val="none" w:sz="0" w:space="0" w:color="auto"/>
          <w:bottom w:val="none" w:sz="0" w:space="0" w:color="auto"/>
          <w:right w:val="none" w:sz="0" w:space="0" w:color="auto"/>
        </w:pBdr>
        <w:tabs>
          <w:tab w:val="center" w:pos="4447"/>
          <w:tab w:val="center" w:pos="7810"/>
          <w:tab w:val="center" w:pos="7582"/>
          <w:tab w:val="right" w:pos="10290"/>
        </w:tabs>
        <w:spacing w:after="21" w:line="259" w:lineRule="auto"/>
        <w:ind w:lef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19486" name="Group 19486"/>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26850" name="Shape 26850"/>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1" name="Shape 26851"/>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2" name="Shape 26852"/>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3" name="Shape 26853"/>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4" name="Shape 26854"/>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5" name="Shape 26855"/>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6" name="Shape 26856"/>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7" name="Shape 26857"/>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8" name="Shape 26858"/>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9" name="Shape 26859"/>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9486" style="width:239.144pt;height:2.40002pt;mso-position-horizontal-relative:char;mso-position-vertical-relative:line" coordsize="30371,304">
                <v:shape id="Shape 26860" style="position:absolute;width:13230;height:121;left:0;top:0;" coordsize="1323086,12192" path="m0,0l1323086,0l1323086,12192l0,12192l0,0">
                  <v:stroke weight="0pt" endcap="flat" joinstyle="miter" miterlimit="10" on="false" color="#000000" opacity="0"/>
                  <v:fill on="true" color="#000000"/>
                </v:shape>
                <v:shape id="Shape 26861" style="position:absolute;width:121;height:121;left:13232;top:0;" coordsize="12192,12192" path="m0,0l12192,0l12192,12192l0,12192l0,0">
                  <v:stroke weight="0pt" endcap="flat" joinstyle="miter" miterlimit="10" on="false" color="#000000" opacity="0"/>
                  <v:fill on="true" color="#000000"/>
                </v:shape>
                <v:shape id="Shape 26862" style="position:absolute;width:10887;height:121;left:13354;top:0;" coordsize="1088745,12192" path="m0,0l1088745,0l1088745,12192l0,12192l0,0">
                  <v:stroke weight="0pt" endcap="flat" joinstyle="miter" miterlimit="10" on="false" color="#000000" opacity="0"/>
                  <v:fill on="true" color="#000000"/>
                </v:shape>
                <v:shape id="Shape 26863" style="position:absolute;width:121;height:121;left:24241;top:0;" coordsize="12192,12192" path="m0,0l12192,0l12192,12192l0,12192l0,0">
                  <v:stroke weight="0pt" endcap="flat" joinstyle="miter" miterlimit="10" on="false" color="#000000" opacity="0"/>
                  <v:fill on="true" color="#000000"/>
                </v:shape>
                <v:shape id="Shape 26864" style="position:absolute;width:6007;height:121;left:24363;top:0;" coordsize="600761,12192" path="m0,0l600761,0l600761,12192l0,12192l0,0">
                  <v:stroke weight="0pt" endcap="flat" joinstyle="miter" miterlimit="10" on="false" color="#000000" opacity="0"/>
                  <v:fill on="true" color="#000000"/>
                </v:shape>
                <v:shape id="Shape 26865" style="position:absolute;width:13230;height:121;left:0;top:182;" coordsize="1323086,12192" path="m0,0l1323086,0l1323086,12192l0,12192l0,0">
                  <v:stroke weight="0pt" endcap="flat" joinstyle="miter" miterlimit="10" on="false" color="#000000" opacity="0"/>
                  <v:fill on="true" color="#000000"/>
                </v:shape>
                <v:shape id="Shape 26866" style="position:absolute;width:121;height:121;left:13232;top:182;" coordsize="12192,12192" path="m0,0l12192,0l12192,12192l0,12192l0,0">
                  <v:stroke weight="0pt" endcap="flat" joinstyle="miter" miterlimit="10" on="false" color="#000000" opacity="0"/>
                  <v:fill on="true" color="#000000"/>
                </v:shape>
                <v:shape id="Shape 26867" style="position:absolute;width:10887;height:121;left:13354;top:182;" coordsize="1088745,12192" path="m0,0l1088745,0l1088745,12192l0,12192l0,0">
                  <v:stroke weight="0pt" endcap="flat" joinstyle="miter" miterlimit="10" on="false" color="#000000" opacity="0"/>
                  <v:fill on="true" color="#000000"/>
                </v:shape>
                <v:shape id="Shape 26868" style="position:absolute;width:121;height:121;left:24241;top:182;" coordsize="12192,12192" path="m0,0l12192,0l12192,12192l0,12192l0,0">
                  <v:stroke weight="0pt" endcap="flat" joinstyle="miter" miterlimit="10" on="false" color="#000000" opacity="0"/>
                  <v:fill on="true" color="#000000"/>
                </v:shape>
                <v:shape id="Shape 26869"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2109B4" w:rsidRDefault="00A8387B">
      <w:pPr>
        <w:pStyle w:val="1"/>
        <w:tabs>
          <w:tab w:val="center" w:pos="4544"/>
          <w:tab w:val="center" w:pos="5344"/>
          <w:tab w:val="center" w:pos="7142"/>
          <w:tab w:val="center" w:pos="9311"/>
        </w:tabs>
        <w:spacing w:after="112"/>
        <w:ind w:left="-15" w:firstLine="0"/>
      </w:pPr>
      <w:r>
        <w:rPr>
          <w:rFonts w:ascii="Calibri" w:eastAsia="Calibri" w:hAnsi="Calibri" w:cs="Calibri"/>
          <w:b w:val="0"/>
          <w:sz w:val="22"/>
        </w:rPr>
        <w:t xml:space="preserve"> </w:t>
      </w:r>
      <w:r>
        <w:rPr>
          <w:rFonts w:ascii="Calibri" w:eastAsia="Calibri" w:hAnsi="Calibri" w:cs="Calibri"/>
          <w:b w:val="0"/>
          <w:sz w:val="22"/>
        </w:rPr>
        <w:tab/>
      </w:r>
      <w:r>
        <w:t xml:space="preserve">Визирование РП для исполнения в </w:t>
      </w:r>
      <w:proofErr w:type="gramStart"/>
      <w:r>
        <w:t xml:space="preserve">очередном </w:t>
      </w:r>
      <w:r>
        <w:rPr>
          <w:rFonts w:ascii="Calibri" w:eastAsia="Calibri" w:hAnsi="Calibri" w:cs="Calibri"/>
          <w:b w:val="0"/>
          <w:sz w:val="22"/>
        </w:rPr>
        <w:t xml:space="preserve"> </w:t>
      </w:r>
      <w:r>
        <w:rPr>
          <w:rFonts w:ascii="Calibri" w:eastAsia="Calibri" w:hAnsi="Calibri" w:cs="Calibri"/>
          <w:b w:val="0"/>
          <w:sz w:val="22"/>
        </w:rPr>
        <w:tab/>
      </w:r>
      <w:proofErr w:type="gramEnd"/>
      <w:r>
        <w:rPr>
          <w:rFonts w:ascii="Calibri" w:eastAsia="Calibri" w:hAnsi="Calibri" w:cs="Calibri"/>
          <w:b w:val="0"/>
          <w:sz w:val="22"/>
        </w:rPr>
        <w:t xml:space="preserve"> </w:t>
      </w:r>
      <w:r>
        <w:rPr>
          <w:rFonts w:ascii="Calibri" w:eastAsia="Calibri" w:hAnsi="Calibri" w:cs="Calibri"/>
          <w:b w:val="0"/>
          <w:sz w:val="34"/>
          <w:vertAlign w:val="superscript"/>
        </w:rPr>
        <w:t xml:space="preserve"> </w:t>
      </w:r>
      <w:r>
        <w:rPr>
          <w:rFonts w:ascii="Calibri" w:eastAsia="Calibri" w:hAnsi="Calibri" w:cs="Calibri"/>
          <w:b w:val="0"/>
          <w:sz w:val="34"/>
          <w:vertAlign w:val="superscript"/>
        </w:rPr>
        <w:tab/>
      </w:r>
      <w:r>
        <w:t>учебном году</w:t>
      </w:r>
      <w:r>
        <w:rPr>
          <w:rFonts w:ascii="Calibri" w:eastAsia="Calibri" w:hAnsi="Calibri" w:cs="Calibri"/>
          <w:b w:val="0"/>
          <w:sz w:val="34"/>
          <w:vertAlign w:val="superscript"/>
        </w:rPr>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p w:rsidR="002109B4" w:rsidRDefault="00A8387B">
      <w:pPr>
        <w:pBdr>
          <w:top w:val="none" w:sz="0" w:space="0" w:color="auto"/>
          <w:left w:val="none" w:sz="0" w:space="0" w:color="auto"/>
          <w:bottom w:val="none" w:sz="0" w:space="0" w:color="auto"/>
          <w:right w:val="none" w:sz="0" w:space="0" w:color="auto"/>
        </w:pBdr>
        <w:tabs>
          <w:tab w:val="center" w:pos="6283"/>
          <w:tab w:val="center" w:pos="8359"/>
        </w:tabs>
        <w:spacing w:after="1" w:line="257" w:lineRule="auto"/>
        <w:ind w:left="0"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2109B4" w:rsidRDefault="00A8387B">
      <w:pPr>
        <w:pBdr>
          <w:top w:val="none" w:sz="0" w:space="0" w:color="auto"/>
          <w:left w:val="none" w:sz="0" w:space="0" w:color="auto"/>
          <w:bottom w:val="none" w:sz="0" w:space="0" w:color="auto"/>
          <w:right w:val="none" w:sz="0" w:space="0" w:color="auto"/>
        </w:pBdr>
        <w:tabs>
          <w:tab w:val="center" w:pos="5344"/>
          <w:tab w:val="center" w:pos="8210"/>
        </w:tabs>
        <w:spacing w:after="100" w:line="257" w:lineRule="auto"/>
        <w:ind w:left="0"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0" w:right="929"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2109B4" w:rsidRDefault="00A8387B">
      <w:pPr>
        <w:pBdr>
          <w:top w:val="none" w:sz="0" w:space="0" w:color="auto"/>
          <w:left w:val="none" w:sz="0" w:space="0" w:color="auto"/>
          <w:bottom w:val="none" w:sz="0" w:space="0" w:color="auto"/>
          <w:right w:val="none" w:sz="0" w:space="0" w:color="auto"/>
        </w:pBdr>
        <w:spacing w:after="11"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2109B4" w:rsidRDefault="00A8387B">
      <w:pPr>
        <w:pBdr>
          <w:top w:val="none" w:sz="0" w:space="0" w:color="auto"/>
          <w:left w:val="none" w:sz="0" w:space="0" w:color="auto"/>
          <w:bottom w:val="none" w:sz="0" w:space="0" w:color="auto"/>
          <w:right w:val="none" w:sz="0" w:space="0" w:color="auto"/>
        </w:pBdr>
        <w:spacing w:after="1" w:line="257" w:lineRule="auto"/>
        <w:ind w:left="29" w:right="173"/>
        <w:jc w:val="both"/>
      </w:pPr>
      <w:r>
        <w:t>Рабочая программа по дисциплине «Модернизация правового регулирования международных расчетов по трансграничным (внешнеэкономическим) сделкам и контрактам» проанализирована и признана актуальной для исполнения в ____ - ____ учебном году.</w:t>
      </w:r>
      <w:r>
        <w:rPr>
          <w:rFonts w:ascii="Calibri" w:eastAsia="Calibri" w:hAnsi="Calibri" w:cs="Calibri"/>
        </w:rPr>
        <w:t xml:space="preserve"> </w:t>
      </w:r>
    </w:p>
    <w:p w:rsidR="002109B4" w:rsidRDefault="00A8387B">
      <w:pPr>
        <w:pStyle w:val="1"/>
        <w:spacing w:after="75"/>
        <w:ind w:left="-5"/>
      </w:pPr>
      <w:r>
        <w:t>Протокол заседания кафедры «Кафедра "Гуманитарные и социально-экономические науки"» от _</w:t>
      </w:r>
      <w:proofErr w:type="gramStart"/>
      <w:r>
        <w:t>_  _</w:t>
      </w:r>
      <w:proofErr w:type="gramEnd"/>
      <w:r>
        <w:t>________  ____г. № ___</w:t>
      </w:r>
      <w:r>
        <w:rPr>
          <w:rFonts w:ascii="Calibri" w:eastAsia="Calibri" w:hAnsi="Calibri" w:cs="Calibri"/>
          <w:b w:val="0"/>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2109B4" w:rsidRDefault="00A8387B">
      <w:pPr>
        <w:pBdr>
          <w:top w:val="none" w:sz="0" w:space="0" w:color="auto"/>
          <w:left w:val="none" w:sz="0" w:space="0" w:color="auto"/>
          <w:bottom w:val="none" w:sz="0" w:space="0" w:color="auto"/>
          <w:right w:val="none" w:sz="0" w:space="0" w:color="auto"/>
        </w:pBdr>
        <w:tabs>
          <w:tab w:val="center" w:pos="8774"/>
        </w:tabs>
        <w:spacing w:after="106" w:line="257" w:lineRule="auto"/>
        <w:ind w:left="0"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2109B4" w:rsidRDefault="00A8387B">
      <w:pPr>
        <w:pBdr>
          <w:top w:val="none" w:sz="0" w:space="0" w:color="auto"/>
          <w:left w:val="none" w:sz="0" w:space="0" w:color="auto"/>
          <w:bottom w:val="none" w:sz="0" w:space="0" w:color="auto"/>
          <w:right w:val="none" w:sz="0" w:space="0" w:color="auto"/>
        </w:pBdr>
        <w:spacing w:after="63" w:line="257" w:lineRule="auto"/>
        <w:ind w:left="29" w:right="173"/>
        <w:jc w:val="both"/>
      </w:pPr>
      <w:r>
        <w:t>_</w:t>
      </w:r>
      <w:proofErr w:type="gramStart"/>
      <w:r>
        <w:t>_  _</w:t>
      </w:r>
      <w:proofErr w:type="gramEnd"/>
      <w:r>
        <w:t>________  ____г. № ___</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tabs>
          <w:tab w:val="center" w:pos="2915"/>
          <w:tab w:val="center" w:pos="4447"/>
          <w:tab w:val="center" w:pos="7810"/>
          <w:tab w:val="center" w:pos="7582"/>
          <w:tab w:val="right" w:pos="10290"/>
        </w:tabs>
        <w:spacing w:after="0" w:line="259" w:lineRule="auto"/>
        <w:ind w:lef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19487" name="Group 19487"/>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26870" name="Shape 26870"/>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1" name="Shape 26871"/>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2" name="Shape 26872"/>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3" name="Shape 26873"/>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4" name="Shape 26874"/>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5" name="Shape 26875"/>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6" name="Shape 26876"/>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7" name="Shape 26877"/>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8" name="Shape 26878"/>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9" name="Shape 26879"/>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19487" style="width:239.144pt;height:2.64001pt;mso-position-horizontal-relative:char;mso-position-vertical-relative:line" coordsize="30371,335">
                <v:shape id="Shape 26880" style="position:absolute;width:13230;height:121;left:0;top:0;" coordsize="1323086,12192" path="m0,0l1323086,0l1323086,12192l0,12192l0,0">
                  <v:stroke weight="0pt" endcap="flat" joinstyle="miter" miterlimit="10" on="false" color="#000000" opacity="0"/>
                  <v:fill on="true" color="#000000"/>
                </v:shape>
                <v:shape id="Shape 26881" style="position:absolute;width:121;height:121;left:13232;top:0;" coordsize="12192,12192" path="m0,0l12192,0l12192,12192l0,12192l0,0">
                  <v:stroke weight="0pt" endcap="flat" joinstyle="miter" miterlimit="10" on="false" color="#000000" opacity="0"/>
                  <v:fill on="true" color="#000000"/>
                </v:shape>
                <v:shape id="Shape 26882" style="position:absolute;width:10887;height:121;left:13354;top:0;" coordsize="1088745,12192" path="m0,0l1088745,0l1088745,12192l0,12192l0,0">
                  <v:stroke weight="0pt" endcap="flat" joinstyle="miter" miterlimit="10" on="false" color="#000000" opacity="0"/>
                  <v:fill on="true" color="#000000"/>
                </v:shape>
                <v:shape id="Shape 26883" style="position:absolute;width:121;height:121;left:24241;top:0;" coordsize="12192,12192" path="m0,0l12192,0l12192,12192l0,12192l0,0">
                  <v:stroke weight="0pt" endcap="flat" joinstyle="miter" miterlimit="10" on="false" color="#000000" opacity="0"/>
                  <v:fill on="true" color="#000000"/>
                </v:shape>
                <v:shape id="Shape 26884" style="position:absolute;width:6007;height:121;left:24363;top:0;" coordsize="600761,12192" path="m0,0l600761,0l600761,12192l0,12192l0,0">
                  <v:stroke weight="0pt" endcap="flat" joinstyle="miter" miterlimit="10" on="false" color="#000000" opacity="0"/>
                  <v:fill on="true" color="#000000"/>
                </v:shape>
                <v:shape id="Shape 26885" style="position:absolute;width:13230;height:121;left:0;top:213;" coordsize="1323086,12192" path="m0,0l1323086,0l1323086,12192l0,12192l0,0">
                  <v:stroke weight="0pt" endcap="flat" joinstyle="miter" miterlimit="10" on="false" color="#000000" opacity="0"/>
                  <v:fill on="true" color="#000000"/>
                </v:shape>
                <v:shape id="Shape 26886" style="position:absolute;width:121;height:121;left:13232;top:213;" coordsize="12192,12192" path="m0,0l12192,0l12192,12192l0,12192l0,0">
                  <v:stroke weight="0pt" endcap="flat" joinstyle="miter" miterlimit="10" on="false" color="#000000" opacity="0"/>
                  <v:fill on="true" color="#000000"/>
                </v:shape>
                <v:shape id="Shape 26887" style="position:absolute;width:10887;height:121;left:13354;top:213;" coordsize="1088745,12192" path="m0,0l1088745,0l1088745,12192l0,12192l0,0">
                  <v:stroke weight="0pt" endcap="flat" joinstyle="miter" miterlimit="10" on="false" color="#000000" opacity="0"/>
                  <v:fill on="true" color="#000000"/>
                </v:shape>
                <v:shape id="Shape 26888" style="position:absolute;width:121;height:121;left:24241;top:213;" coordsize="12192,12192" path="m0,0l12192,0l12192,12192l0,12192l0,0">
                  <v:stroke weight="0pt" endcap="flat" joinstyle="miter" miterlimit="10" on="false" color="#000000" opacity="0"/>
                  <v:fill on="true" color="#000000"/>
                </v:shape>
                <v:shape id="Shape 26889"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tbl>
      <w:tblPr>
        <w:tblStyle w:val="TableGrid"/>
        <w:tblW w:w="10272" w:type="dxa"/>
        <w:tblInd w:w="2" w:type="dxa"/>
        <w:tblCellMar>
          <w:top w:w="13" w:type="dxa"/>
          <w:left w:w="38" w:type="dxa"/>
        </w:tblCellMar>
        <w:tblLook w:val="04A0" w:firstRow="1" w:lastRow="0" w:firstColumn="1" w:lastColumn="0" w:noHBand="0" w:noVBand="1"/>
      </w:tblPr>
      <w:tblGrid>
        <w:gridCol w:w="776"/>
        <w:gridCol w:w="9496"/>
      </w:tblGrid>
      <w:tr w:rsidR="002109B4">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41" w:firstLine="0"/>
              <w:jc w:val="center"/>
            </w:pPr>
            <w:r>
              <w:rPr>
                <w:b/>
              </w:rPr>
              <w:lastRenderedPageBreak/>
              <w:t>1. ЦЕЛИ ОСВОЕНИЯ ДИСЦИПЛИНЫ (МОДУЛЯ)</w:t>
            </w:r>
            <w:r>
              <w:rPr>
                <w:rFonts w:ascii="Calibri" w:eastAsia="Calibri" w:hAnsi="Calibri" w:cs="Calibri"/>
              </w:rPr>
              <w:t xml:space="preserve"> </w:t>
            </w:r>
          </w:p>
        </w:tc>
      </w:tr>
      <w:tr w:rsidR="002109B4">
        <w:trPr>
          <w:trHeight w:val="1385"/>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both"/>
            </w:pPr>
            <w:r>
              <w:t>Цели освоения дисциплины «Модернизация правового регулирования международных расчетов по трансграничным</w:t>
            </w:r>
          </w:p>
          <w:p w:rsidR="002109B4" w:rsidRDefault="00A8387B">
            <w:pPr>
              <w:pBdr>
                <w:top w:val="none" w:sz="0" w:space="0" w:color="auto"/>
                <w:left w:val="none" w:sz="0" w:space="0" w:color="auto"/>
                <w:bottom w:val="none" w:sz="0" w:space="0" w:color="auto"/>
                <w:right w:val="none" w:sz="0" w:space="0" w:color="auto"/>
              </w:pBdr>
              <w:spacing w:after="0" w:line="236" w:lineRule="auto"/>
              <w:ind w:left="0" w:firstLine="0"/>
            </w:pPr>
            <w:r>
              <w:t xml:space="preserve">(внешнеэкономическим) сделкам и контрактам» состоит в формировании у студентов знаний содержания нормативных правовых актов, регулирующих гражданские правоотношения, осложнённые иностранным элементом; изучении правового регулирования международных расчетов по трансграничным </w:t>
            </w:r>
          </w:p>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(внешнеэкономическим) сделкам и контрактам; формировании у них умений и навыков практического применения юридических знаний в данной сфере.</w:t>
            </w:r>
            <w:r>
              <w:rPr>
                <w:rFonts w:ascii="Calibri" w:eastAsia="Calibri" w:hAnsi="Calibri" w:cs="Calibri"/>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9" w:type="dxa"/>
          <w:left w:w="31" w:type="dxa"/>
        </w:tblCellMar>
        <w:tblLook w:val="04A0" w:firstRow="1" w:lastRow="0" w:firstColumn="1" w:lastColumn="0" w:noHBand="0" w:noVBand="1"/>
      </w:tblPr>
      <w:tblGrid>
        <w:gridCol w:w="776"/>
        <w:gridCol w:w="504"/>
        <w:gridCol w:w="1503"/>
        <w:gridCol w:w="7489"/>
      </w:tblGrid>
      <w:tr w:rsidR="002109B4">
        <w:trPr>
          <w:trHeight w:val="274"/>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2109B4">
        <w:trPr>
          <w:trHeight w:val="276"/>
        </w:trPr>
        <w:tc>
          <w:tcPr>
            <w:tcW w:w="2783"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42" w:firstLine="0"/>
              <w:jc w:val="center"/>
            </w:pPr>
            <w:r>
              <w:t>Цикл (раздел) ОП:</w:t>
            </w:r>
            <w:r>
              <w:rPr>
                <w:rFonts w:ascii="Calibri" w:eastAsia="Calibri" w:hAnsi="Calibri" w:cs="Calibri"/>
              </w:rPr>
              <w:t xml:space="preserve"> </w:t>
            </w:r>
          </w:p>
        </w:tc>
        <w:tc>
          <w:tcPr>
            <w:tcW w:w="748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Б1.В.ДВ.03</w:t>
            </w:r>
            <w:r>
              <w:rPr>
                <w:rFonts w:ascii="Calibri" w:eastAsia="Calibri" w:hAnsi="Calibri" w:cs="Calibri"/>
              </w:rPr>
              <w:t xml:space="preserve"> </w:t>
            </w:r>
          </w:p>
        </w:tc>
      </w:tr>
      <w:tr w:rsidR="002109B4">
        <w:trPr>
          <w:trHeight w:val="278"/>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b/>
              </w:rPr>
              <w:t>Требования к предварительной подготовке обучающегося:</w:t>
            </w:r>
            <w:r>
              <w:rPr>
                <w:rFonts w:ascii="Calibri" w:eastAsia="Calibri" w:hAnsi="Calibri" w:cs="Calibri"/>
              </w:rPr>
              <w:t xml:space="preserve"> </w:t>
            </w:r>
          </w:p>
        </w:tc>
      </w:tr>
      <w:tr w:rsidR="002109B4">
        <w:trPr>
          <w:trHeight w:val="278"/>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2.1.1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Ознакомительная практика</w:t>
            </w:r>
            <w:r>
              <w:rPr>
                <w:rFonts w:ascii="Calibri" w:eastAsia="Calibri" w:hAnsi="Calibri" w:cs="Calibri"/>
              </w:rPr>
              <w:t xml:space="preserve"> </w:t>
            </w:r>
          </w:p>
        </w:tc>
      </w:tr>
      <w:tr w:rsidR="002109B4">
        <w:trPr>
          <w:trHeight w:val="279"/>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2.1.2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Проектная практика</w:t>
            </w:r>
            <w:r>
              <w:rPr>
                <w:rFonts w:ascii="Calibri" w:eastAsia="Calibri" w:hAnsi="Calibri" w:cs="Calibri"/>
              </w:rPr>
              <w:t xml:space="preserve"> </w:t>
            </w:r>
          </w:p>
        </w:tc>
      </w:tr>
      <w:tr w:rsidR="002109B4">
        <w:trPr>
          <w:trHeight w:val="278"/>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2.1.3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Ознакомительная практика</w:t>
            </w:r>
            <w:r>
              <w:rPr>
                <w:rFonts w:ascii="Calibri" w:eastAsia="Calibri" w:hAnsi="Calibri" w:cs="Calibri"/>
              </w:rPr>
              <w:t xml:space="preserve"> </w:t>
            </w:r>
          </w:p>
        </w:tc>
      </w:tr>
      <w:tr w:rsidR="002109B4">
        <w:trPr>
          <w:trHeight w:val="283"/>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2.1.4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Проектная практика</w:t>
            </w:r>
            <w:r>
              <w:rPr>
                <w:rFonts w:ascii="Calibri" w:eastAsia="Calibri" w:hAnsi="Calibri" w:cs="Calibri"/>
              </w:rPr>
              <w:t xml:space="preserve"> </w:t>
            </w:r>
          </w:p>
        </w:tc>
      </w:tr>
      <w:tr w:rsidR="002109B4">
        <w:trPr>
          <w:trHeight w:val="504"/>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2109B4">
        <w:trPr>
          <w:trHeight w:val="278"/>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Договорное право</w:t>
            </w:r>
            <w:r>
              <w:rPr>
                <w:rFonts w:ascii="Calibri" w:eastAsia="Calibri" w:hAnsi="Calibri" w:cs="Calibri"/>
              </w:rPr>
              <w:t xml:space="preserve"> </w:t>
            </w:r>
          </w:p>
        </w:tc>
      </w:tr>
      <w:tr w:rsidR="002109B4">
        <w:trPr>
          <w:trHeight w:val="279"/>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Подготовка к сдаче и сдача государственного экзамена</w:t>
            </w:r>
            <w:r>
              <w:rPr>
                <w:rFonts w:ascii="Calibri" w:eastAsia="Calibri" w:hAnsi="Calibri" w:cs="Calibri"/>
              </w:rPr>
              <w:t xml:space="preserve"> </w:t>
            </w:r>
          </w:p>
        </w:tc>
      </w:tr>
      <w:tr w:rsidR="002109B4">
        <w:trPr>
          <w:trHeight w:val="283"/>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2.2.3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Преддипломная практика</w:t>
            </w:r>
            <w:r>
              <w:rPr>
                <w:rFonts w:ascii="Calibri" w:eastAsia="Calibri" w:hAnsi="Calibri" w:cs="Calibri"/>
              </w:rPr>
              <w:t xml:space="preserve"> </w:t>
            </w:r>
          </w:p>
        </w:tc>
      </w:tr>
      <w:tr w:rsidR="002109B4">
        <w:trPr>
          <w:trHeight w:val="278"/>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2.2.4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Договорное право</w:t>
            </w:r>
            <w:r>
              <w:rPr>
                <w:rFonts w:ascii="Calibri" w:eastAsia="Calibri" w:hAnsi="Calibri" w:cs="Calibri"/>
              </w:rPr>
              <w:t xml:space="preserve"> </w:t>
            </w:r>
          </w:p>
        </w:tc>
      </w:tr>
      <w:tr w:rsidR="002109B4">
        <w:trPr>
          <w:trHeight w:val="278"/>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2.2.5</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Подготовка к сдаче и сдача государственного экзамена</w:t>
            </w:r>
            <w:r>
              <w:rPr>
                <w:rFonts w:ascii="Calibri" w:eastAsia="Calibri" w:hAnsi="Calibri" w:cs="Calibri"/>
              </w:rPr>
              <w:t xml:space="preserve"> </w:t>
            </w:r>
          </w:p>
        </w:tc>
      </w:tr>
      <w:tr w:rsidR="002109B4">
        <w:trPr>
          <w:trHeight w:val="278"/>
        </w:trPr>
        <w:tc>
          <w:tcPr>
            <w:tcW w:w="7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2.2.6</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Преддипломная практика</w:t>
            </w:r>
            <w:r>
              <w:rPr>
                <w:rFonts w:ascii="Calibri" w:eastAsia="Calibri" w:hAnsi="Calibri" w:cs="Calibri"/>
              </w:rPr>
              <w:t xml:space="preserve"> </w:t>
            </w:r>
          </w:p>
        </w:tc>
      </w:tr>
      <w:tr w:rsidR="002109B4">
        <w:trPr>
          <w:trHeight w:val="548"/>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center"/>
            </w:pPr>
            <w:r>
              <w:rPr>
                <w:b/>
              </w:rPr>
              <w:t xml:space="preserve">3. КОМПЕТЕНЦИИ ОБУЧАЮЩЕГОСЯ, ФОРМИРУЕМЫЕ В РЕЗУЛЬТАТЕ ОСВОЕНИЯ ДИСЦИПЛИНЫ </w:t>
            </w:r>
          </w:p>
          <w:p w:rsidR="002109B4" w:rsidRDefault="00A8387B">
            <w:pPr>
              <w:pBdr>
                <w:top w:val="none" w:sz="0" w:space="0" w:color="auto"/>
                <w:left w:val="none" w:sz="0" w:space="0" w:color="auto"/>
                <w:bottom w:val="none" w:sz="0" w:space="0" w:color="auto"/>
                <w:right w:val="none" w:sz="0" w:space="0" w:color="auto"/>
              </w:pBdr>
              <w:spacing w:after="0" w:line="259" w:lineRule="auto"/>
              <w:ind w:left="6" w:firstLine="0"/>
              <w:jc w:val="center"/>
            </w:pPr>
            <w:r>
              <w:rPr>
                <w:b/>
              </w:rPr>
              <w:t>(МОДУЛЯ)</w:t>
            </w:r>
            <w:r>
              <w:rPr>
                <w:rFonts w:ascii="Calibri" w:eastAsia="Calibri" w:hAnsi="Calibri" w:cs="Calibri"/>
              </w:rPr>
              <w:t xml:space="preserve"> </w:t>
            </w:r>
          </w:p>
        </w:tc>
      </w:tr>
      <w:tr w:rsidR="00A6171E" w:rsidTr="00A6171E">
        <w:trPr>
          <w:trHeight w:val="548"/>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A6171E" w:rsidRDefault="00A6171E">
            <w:pPr>
              <w:pBdr>
                <w:top w:val="none" w:sz="0" w:space="0" w:color="auto"/>
                <w:left w:val="none" w:sz="0" w:space="0" w:color="auto"/>
                <w:bottom w:val="none" w:sz="0" w:space="0" w:color="auto"/>
                <w:right w:val="none" w:sz="0" w:space="0" w:color="auto"/>
              </w:pBdr>
              <w:spacing w:after="0" w:line="259" w:lineRule="auto"/>
              <w:ind w:left="0" w:firstLine="0"/>
              <w:jc w:val="center"/>
              <w:rPr>
                <w:b/>
              </w:rPr>
            </w:pPr>
            <w:r>
              <w:rPr>
                <w:b/>
              </w:rPr>
              <w:t xml:space="preserve">ПК-4: </w:t>
            </w:r>
            <w:r w:rsidRPr="00A6171E">
              <w:rPr>
                <w:b/>
              </w:rPr>
              <w:t>Способен разрабатывать документы для надлежащего обеспечения прав и свобод участников частноправовых отношений в строгом соответствии с действующим законодательством Российской Федерации</w:t>
            </w:r>
          </w:p>
        </w:tc>
      </w:tr>
      <w:tr w:rsidR="002109B4">
        <w:trPr>
          <w:trHeight w:val="761"/>
        </w:trPr>
        <w:tc>
          <w:tcPr>
            <w:tcW w:w="10272"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9" w:line="238" w:lineRule="auto"/>
              <w:ind w:left="0" w:firstLine="0"/>
              <w:jc w:val="center"/>
            </w:pPr>
            <w:r>
              <w:rPr>
                <w:b/>
              </w:rPr>
              <w:t xml:space="preserve">ПК-4.1: Разбирается в порядке осуществления юридических действий в точном соответствии с законодательством Российской Федерации и международных норм с целью обеспечения прав и свобод участников частноправовых </w:t>
            </w:r>
          </w:p>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jc w:val="center"/>
            </w:pPr>
            <w:r>
              <w:rPr>
                <w:b/>
              </w:rPr>
              <w:t>отношений</w:t>
            </w:r>
            <w:r>
              <w:rPr>
                <w:rFonts w:ascii="Calibri" w:eastAsia="Calibri" w:hAnsi="Calibri" w:cs="Calibri"/>
              </w:rPr>
              <w:t xml:space="preserve"> </w:t>
            </w:r>
          </w:p>
        </w:tc>
      </w:tr>
      <w:tr w:rsidR="002109B4">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2109B4">
        <w:trPr>
          <w:trHeight w:val="274"/>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сущность и содержание основных понятий и категорий национального права</w:t>
            </w:r>
            <w:r>
              <w:rPr>
                <w:rFonts w:ascii="Calibri" w:eastAsia="Calibri" w:hAnsi="Calibri" w:cs="Calibri"/>
              </w:rPr>
              <w:t xml:space="preserve"> </w:t>
            </w:r>
          </w:p>
        </w:tc>
      </w:tr>
      <w:tr w:rsidR="002109B4">
        <w:trPr>
          <w:trHeight w:val="279"/>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общепризнанные нормы и принципы международного права</w:t>
            </w:r>
            <w:r>
              <w:rPr>
                <w:rFonts w:ascii="Calibri" w:eastAsia="Calibri" w:hAnsi="Calibri" w:cs="Calibri"/>
              </w:rPr>
              <w:t xml:space="preserve"> </w:t>
            </w:r>
          </w:p>
        </w:tc>
      </w:tr>
      <w:tr w:rsidR="002109B4">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знать систему международного законодательства, источники международного права</w:t>
            </w:r>
            <w:r>
              <w:rPr>
                <w:rFonts w:ascii="Calibri" w:eastAsia="Calibri" w:hAnsi="Calibri" w:cs="Calibri"/>
              </w:rPr>
              <w:t xml:space="preserve"> </w:t>
            </w:r>
          </w:p>
        </w:tc>
      </w:tr>
      <w:tr w:rsidR="002109B4">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2109B4">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jc w:val="both"/>
            </w:pPr>
            <w:r>
              <w:t xml:space="preserve">определять фактическую основу ситуаций, подлежащих </w:t>
            </w:r>
            <w:proofErr w:type="spellStart"/>
            <w:r>
              <w:t>правоприменению</w:t>
            </w:r>
            <w:proofErr w:type="spellEnd"/>
            <w:r>
              <w:t>, выявлять юридические проблемы</w:t>
            </w:r>
          </w:p>
        </w:tc>
      </w:tr>
      <w:tr w:rsidR="002109B4">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системно оценивать основные сферы международно-правового регулирования</w:t>
            </w:r>
            <w:r>
              <w:rPr>
                <w:rFonts w:ascii="Calibri" w:eastAsia="Calibri" w:hAnsi="Calibri" w:cs="Calibri"/>
              </w:rPr>
              <w:t xml:space="preserve"> </w:t>
            </w:r>
          </w:p>
        </w:tc>
      </w:tr>
      <w:tr w:rsidR="002109B4">
        <w:trPr>
          <w:trHeight w:val="476"/>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оперировать отечественными и интернациональными юридическими понятиями и категориями в сфере частноправовых отношений</w:t>
            </w:r>
            <w:r>
              <w:rPr>
                <w:rFonts w:ascii="Calibri" w:eastAsia="Calibri" w:hAnsi="Calibri" w:cs="Calibri"/>
              </w:rPr>
              <w:t xml:space="preserve"> </w:t>
            </w:r>
          </w:p>
        </w:tc>
      </w:tr>
      <w:tr w:rsidR="002109B4">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2109B4">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1</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jc w:val="both"/>
            </w:pPr>
            <w:r>
              <w:t>юридической терминологией; методикой сравнительно-правового анализа национальных и международных норм</w:t>
            </w:r>
            <w:r>
              <w:rPr>
                <w:rFonts w:ascii="Calibri" w:eastAsia="Calibri" w:hAnsi="Calibri" w:cs="Calibri"/>
              </w:rPr>
              <w:t xml:space="preserve"> </w:t>
            </w:r>
          </w:p>
        </w:tc>
      </w:tr>
      <w:tr w:rsidR="002109B4">
        <w:trPr>
          <w:trHeight w:val="475"/>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2</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навыками самостоятельной поисковой и аналитической работы с международными документами и нормативными актами</w:t>
            </w:r>
            <w:r>
              <w:rPr>
                <w:rFonts w:ascii="Calibri" w:eastAsia="Calibri" w:hAnsi="Calibri" w:cs="Calibri"/>
              </w:rPr>
              <w:t xml:space="preserve"> </w:t>
            </w:r>
          </w:p>
        </w:tc>
      </w:tr>
      <w:tr w:rsidR="002109B4">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 w:firstLine="0"/>
              <w:jc w:val="center"/>
            </w:pPr>
            <w:r>
              <w:t>Уровень 3</w:t>
            </w:r>
            <w:r>
              <w:rPr>
                <w:rFonts w:ascii="Calibri" w:eastAsia="Calibri" w:hAnsi="Calibri" w:cs="Calibri"/>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навыками работы с правовыми актами; анализировать правовые явления, юридические факты, правовые нормы и правовые отношения</w:t>
            </w:r>
            <w:r>
              <w:rPr>
                <w:rFonts w:ascii="Calibri" w:eastAsia="Calibri" w:hAnsi="Calibri" w:cs="Calibri"/>
              </w:rPr>
              <w:t xml:space="preserve"> </w:t>
            </w:r>
          </w:p>
        </w:tc>
      </w:tr>
    </w:tbl>
    <w:p w:rsidR="002109B4" w:rsidRDefault="00A8387B">
      <w:pPr>
        <w:pStyle w:val="1"/>
        <w:tabs>
          <w:tab w:val="center" w:pos="1282"/>
          <w:tab w:val="center" w:pos="2785"/>
          <w:tab w:val="center" w:pos="4548"/>
          <w:tab w:val="center" w:pos="5839"/>
          <w:tab w:val="center" w:pos="9316"/>
        </w:tabs>
        <w:ind w:left="-15" w:firstLine="0"/>
      </w:pPr>
      <w:r>
        <w:rPr>
          <w:rFonts w:ascii="Calibri" w:eastAsia="Calibri" w:hAnsi="Calibri" w:cs="Calibri"/>
          <w:b w:val="0"/>
          <w:sz w:val="22"/>
        </w:rPr>
        <w:t xml:space="preserve"> </w:t>
      </w:r>
      <w:r>
        <w:t>В результате освоения дисциплины (модуля) обучающийся должен</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tbl>
      <w:tblPr>
        <w:tblStyle w:val="TableGrid"/>
        <w:tblW w:w="10276" w:type="dxa"/>
        <w:tblInd w:w="0" w:type="dxa"/>
        <w:tblCellMar>
          <w:top w:w="9" w:type="dxa"/>
          <w:left w:w="38" w:type="dxa"/>
        </w:tblCellMar>
        <w:tblLook w:val="04A0" w:firstRow="1" w:lastRow="0" w:firstColumn="1" w:lastColumn="0" w:noHBand="0" w:noVBand="1"/>
      </w:tblPr>
      <w:tblGrid>
        <w:gridCol w:w="778"/>
        <w:gridCol w:w="9498"/>
      </w:tblGrid>
      <w:tr w:rsidR="002109B4">
        <w:trPr>
          <w:trHeight w:val="278"/>
        </w:trPr>
        <w:tc>
          <w:tcPr>
            <w:tcW w:w="77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2109B4">
        <w:trPr>
          <w:trHeight w:val="725"/>
        </w:trPr>
        <w:tc>
          <w:tcPr>
            <w:tcW w:w="77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стандарты и принципы юридического сопровождения при представлении интересов физических и юридических лиц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2109B4">
        <w:trPr>
          <w:trHeight w:val="730"/>
        </w:trPr>
        <w:tc>
          <w:tcPr>
            <w:tcW w:w="77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lastRenderedPageBreak/>
              <w:t>3.1.2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научно-методологические основы договорных конструкций при ведении и решении конкретных юридических дел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2109B4">
        <w:trPr>
          <w:trHeight w:val="278"/>
        </w:trPr>
        <w:tc>
          <w:tcPr>
            <w:tcW w:w="77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3.1.3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юридические основы выработки правовой позиции при отстаивании интересов доверителей,</w:t>
            </w:r>
            <w:r>
              <w:rPr>
                <w:rFonts w:ascii="Calibri" w:eastAsia="Calibri" w:hAnsi="Calibri" w:cs="Calibri"/>
              </w:rPr>
              <w:t xml:space="preserve"> </w:t>
            </w:r>
          </w:p>
        </w:tc>
      </w:tr>
      <w:tr w:rsidR="002109B4">
        <w:trPr>
          <w:trHeight w:val="509"/>
        </w:trPr>
        <w:tc>
          <w:tcPr>
            <w:tcW w:w="77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3.1.4</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особенности развития современного юридического знания, тенденции и перспективы развития частного права в условиях функционирования российской правовой системы,</w:t>
            </w:r>
            <w:r>
              <w:rPr>
                <w:rFonts w:ascii="Calibri" w:eastAsia="Calibri" w:hAnsi="Calibri" w:cs="Calibri"/>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right="1222"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2109B4">
        <w:trPr>
          <w:trHeight w:val="504"/>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3.1.5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основные закономерности развития цифровых процессов в частноправовой сфере регулирования общественных отношений,</w:t>
            </w:r>
            <w:r>
              <w:rPr>
                <w:rFonts w:ascii="Calibri" w:eastAsia="Calibri" w:hAnsi="Calibri" w:cs="Calibri"/>
              </w:rPr>
              <w:t xml:space="preserve"> </w:t>
            </w:r>
          </w:p>
        </w:tc>
      </w:tr>
      <w:tr w:rsidR="002109B4">
        <w:trPr>
          <w:trHeight w:val="283"/>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3.1.6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xml:space="preserve">- особенности </w:t>
            </w:r>
            <w:proofErr w:type="gramStart"/>
            <w:r>
              <w:t>совершенствования  профессиональной</w:t>
            </w:r>
            <w:proofErr w:type="gramEnd"/>
            <w:r>
              <w:t xml:space="preserve"> деятельности и профессиональной подготовки юриста.</w:t>
            </w:r>
            <w:r>
              <w:rPr>
                <w:rFonts w:ascii="Calibri" w:eastAsia="Calibri" w:hAnsi="Calibri" w:cs="Calibri"/>
              </w:rPr>
              <w:t xml:space="preserve"> </w:t>
            </w:r>
          </w:p>
        </w:tc>
      </w:tr>
      <w:tr w:rsidR="002109B4">
        <w:trPr>
          <w:trHeight w:val="274"/>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2109B4">
        <w:trPr>
          <w:trHeight w:val="730"/>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3.2.1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осуществлять юридическое сопровождение при представлении интересов физических и юридических лиц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2109B4">
        <w:trPr>
          <w:trHeight w:val="504"/>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3.2.2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составлять основные гражданско-правовые и процессуальные документы (гражданско-правовые претензии и иски),</w:t>
            </w:r>
            <w:r>
              <w:rPr>
                <w:rFonts w:ascii="Calibri" w:eastAsia="Calibri" w:hAnsi="Calibri" w:cs="Calibri"/>
              </w:rPr>
              <w:t xml:space="preserve"> </w:t>
            </w:r>
          </w:p>
        </w:tc>
      </w:tr>
      <w:tr w:rsidR="002109B4">
        <w:trPr>
          <w:trHeight w:val="278"/>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3.2.3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поддерживать в суде правовую позицию при отстаивании интересов доверителей,</w:t>
            </w:r>
            <w:r>
              <w:rPr>
                <w:rFonts w:ascii="Calibri" w:eastAsia="Calibri" w:hAnsi="Calibri" w:cs="Calibri"/>
              </w:rPr>
              <w:t xml:space="preserve"> </w:t>
            </w:r>
          </w:p>
        </w:tc>
      </w:tr>
      <w:tr w:rsidR="002109B4">
        <w:trPr>
          <w:trHeight w:val="509"/>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3.2.4</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совершенствовать аналитические и научно-теоретические способности в сфере развития частноправового юридического знания и в области реализации норм материального и процессуального права,</w:t>
            </w:r>
            <w:r>
              <w:rPr>
                <w:rFonts w:ascii="Calibri" w:eastAsia="Calibri" w:hAnsi="Calibri" w:cs="Calibri"/>
              </w:rPr>
              <w:t xml:space="preserve"> </w:t>
            </w:r>
          </w:p>
        </w:tc>
      </w:tr>
      <w:tr w:rsidR="002109B4">
        <w:trPr>
          <w:trHeight w:val="509"/>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3.2.5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xml:space="preserve">- применять инновационные и цифровые технологии в условиях </w:t>
            </w:r>
            <w:proofErr w:type="spellStart"/>
            <w:r>
              <w:t>цифровизации</w:t>
            </w:r>
            <w:proofErr w:type="spellEnd"/>
            <w:r>
              <w:t xml:space="preserve"> правотворческой и правоприменительной деятельности,</w:t>
            </w:r>
            <w:r>
              <w:rPr>
                <w:rFonts w:ascii="Calibri" w:eastAsia="Calibri" w:hAnsi="Calibri" w:cs="Calibri"/>
              </w:rPr>
              <w:t xml:space="preserve"> </w:t>
            </w:r>
          </w:p>
        </w:tc>
      </w:tr>
      <w:tr w:rsidR="002109B4">
        <w:trPr>
          <w:trHeight w:val="278"/>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3.2.6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применять  юридические знания для</w:t>
            </w:r>
            <w:r>
              <w:rPr>
                <w:rFonts w:ascii="Calibri" w:eastAsia="Calibri" w:hAnsi="Calibri" w:cs="Calibri"/>
              </w:rPr>
              <w:t xml:space="preserve"> </w:t>
            </w:r>
          </w:p>
        </w:tc>
      </w:tr>
      <w:tr w:rsidR="002109B4">
        <w:trPr>
          <w:trHeight w:val="278"/>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3.2.7</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саморазвития и самообразования в сфере профессиональной подготовки современного юриста.</w:t>
            </w:r>
            <w:r>
              <w:rPr>
                <w:rFonts w:ascii="Calibri" w:eastAsia="Calibri" w:hAnsi="Calibri" w:cs="Calibri"/>
              </w:rPr>
              <w:t xml:space="preserve"> </w:t>
            </w:r>
          </w:p>
        </w:tc>
      </w:tr>
      <w:tr w:rsidR="002109B4">
        <w:trPr>
          <w:trHeight w:val="278"/>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2109B4">
        <w:trPr>
          <w:trHeight w:val="725"/>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3.3.1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навыками осуществления юридического сопровождения при представлении интересов физических и юридических лиц в судебных, административных, государственных, муниципальных органах и иных государственных и негосударственных учреждениях и организациях,</w:t>
            </w:r>
            <w:r>
              <w:rPr>
                <w:rFonts w:ascii="Calibri" w:eastAsia="Calibri" w:hAnsi="Calibri" w:cs="Calibri"/>
              </w:rPr>
              <w:t xml:space="preserve"> </w:t>
            </w:r>
          </w:p>
        </w:tc>
      </w:tr>
      <w:tr w:rsidR="002109B4">
        <w:trPr>
          <w:trHeight w:val="509"/>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навыками использования справочно-правовых и информационно-правовых систем при составлении основных гражданско-правовых и процессуальных документов (гражданско-правовых претензий и исков),</w:t>
            </w:r>
            <w:r>
              <w:rPr>
                <w:rFonts w:ascii="Calibri" w:eastAsia="Calibri" w:hAnsi="Calibri" w:cs="Calibri"/>
              </w:rPr>
              <w:t xml:space="preserve"> </w:t>
            </w:r>
          </w:p>
        </w:tc>
      </w:tr>
      <w:tr w:rsidR="002109B4">
        <w:trPr>
          <w:trHeight w:val="278"/>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навыками выбора наиболее целесообразной правовой позиции при отстаивании интересов доверителей,</w:t>
            </w:r>
            <w:r>
              <w:rPr>
                <w:rFonts w:ascii="Calibri" w:eastAsia="Calibri" w:hAnsi="Calibri" w:cs="Calibri"/>
              </w:rPr>
              <w:t xml:space="preserve"> </w:t>
            </w:r>
          </w:p>
        </w:tc>
      </w:tr>
      <w:tr w:rsidR="002109B4">
        <w:trPr>
          <w:trHeight w:val="509"/>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3.3.4</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навыками к  саморазвитию и самоорганизации при  самообразовании и  совершенствовании профессиональной подготовки  и профессиональной деятельности,</w:t>
            </w:r>
            <w:r>
              <w:rPr>
                <w:rFonts w:ascii="Calibri" w:eastAsia="Calibri" w:hAnsi="Calibri" w:cs="Calibri"/>
              </w:rPr>
              <w:t xml:space="preserve"> </w:t>
            </w:r>
          </w:p>
        </w:tc>
      </w:tr>
      <w:tr w:rsidR="002109B4">
        <w:trPr>
          <w:trHeight w:val="504"/>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3.3.5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навыками использования цифровых технологий в процессе реализации норм материального и процессуального права,</w:t>
            </w:r>
            <w:r>
              <w:rPr>
                <w:rFonts w:ascii="Calibri" w:eastAsia="Calibri" w:hAnsi="Calibri" w:cs="Calibri"/>
              </w:rPr>
              <w:t xml:space="preserve"> </w:t>
            </w:r>
          </w:p>
        </w:tc>
      </w:tr>
      <w:tr w:rsidR="002109B4">
        <w:trPr>
          <w:trHeight w:val="509"/>
        </w:trPr>
        <w:tc>
          <w:tcPr>
            <w:tcW w:w="76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right"/>
            </w:pPr>
            <w:r>
              <w:t>3.3.6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навыками, способствующими профессиональному росту, повышению уровня профессиональной правовой культуры и профессионального правосознания.</w:t>
            </w:r>
            <w:r>
              <w:rPr>
                <w:rFonts w:ascii="Calibri" w:eastAsia="Calibri" w:hAnsi="Calibri" w:cs="Calibri"/>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1" w:type="dxa"/>
          <w:left w:w="31" w:type="dxa"/>
        </w:tblCellMar>
        <w:tblLook w:val="04A0" w:firstRow="1" w:lastRow="0" w:firstColumn="1" w:lastColumn="0" w:noHBand="0" w:noVBand="1"/>
      </w:tblPr>
      <w:tblGrid>
        <w:gridCol w:w="949"/>
        <w:gridCol w:w="3254"/>
        <w:gridCol w:w="956"/>
        <w:gridCol w:w="692"/>
        <w:gridCol w:w="1114"/>
        <w:gridCol w:w="1354"/>
        <w:gridCol w:w="697"/>
        <w:gridCol w:w="1256"/>
      </w:tblGrid>
      <w:tr w:rsidR="002109B4">
        <w:trPr>
          <w:trHeight w:val="271"/>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4. СТРУКТУРА И СОДЕРЖАНИЕ ДИСЦИПЛИНЫ (МОДУЛЯ)</w:t>
            </w:r>
            <w:r>
              <w:rPr>
                <w:rFonts w:ascii="Calibri" w:eastAsia="Calibri" w:hAnsi="Calibri" w:cs="Calibri"/>
              </w:rPr>
              <w:t xml:space="preserve"> </w:t>
            </w:r>
          </w:p>
        </w:tc>
      </w:tr>
      <w:tr w:rsidR="002109B4">
        <w:trPr>
          <w:trHeight w:val="420"/>
        </w:trPr>
        <w:tc>
          <w:tcPr>
            <w:tcW w:w="94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center"/>
            </w:pPr>
            <w:r>
              <w:rPr>
                <w:b/>
              </w:rPr>
              <w:t>Код занятия</w:t>
            </w:r>
            <w:r>
              <w:rPr>
                <w:rFonts w:ascii="Calibri" w:eastAsia="Calibri" w:hAnsi="Calibri" w:cs="Calibri"/>
              </w:rPr>
              <w:t xml:space="preserve"> </w:t>
            </w:r>
          </w:p>
        </w:tc>
        <w:tc>
          <w:tcPr>
            <w:tcW w:w="325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center"/>
            </w:pPr>
            <w:r>
              <w:rPr>
                <w:b/>
              </w:rPr>
              <w:t>Наименование разделов и тем /вид занятия/</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center"/>
            </w:pPr>
            <w:r>
              <w:rPr>
                <w:b/>
              </w:rPr>
              <w:t>Семестр / Курс</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5" w:firstLine="0"/>
              <w:jc w:val="both"/>
            </w:pPr>
            <w:r>
              <w:rPr>
                <w:b/>
              </w:rPr>
              <w:t>Часов</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37" w:firstLine="0"/>
            </w:pPr>
            <w:r>
              <w:rPr>
                <w:b/>
              </w:rPr>
              <w:t>Литература</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5" w:firstLine="0"/>
              <w:jc w:val="both"/>
            </w:pPr>
            <w:r>
              <w:rPr>
                <w:b/>
              </w:rPr>
              <w:t>Примечание</w:t>
            </w:r>
            <w:r>
              <w:rPr>
                <w:rFonts w:ascii="Calibri" w:eastAsia="Calibri" w:hAnsi="Calibri" w:cs="Calibri"/>
              </w:rPr>
              <w:t xml:space="preserve"> </w:t>
            </w:r>
          </w:p>
        </w:tc>
      </w:tr>
      <w:tr w:rsidR="002109B4">
        <w:trPr>
          <w:trHeight w:val="475"/>
        </w:trPr>
        <w:tc>
          <w:tcPr>
            <w:tcW w:w="94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25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rPr>
                <w:b/>
              </w:rPr>
              <w:t>Раздел 1. Расчетные отношения в международном частном праве</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2109B4">
        <w:trPr>
          <w:trHeight w:val="1580"/>
        </w:trPr>
        <w:tc>
          <w:tcPr>
            <w:tcW w:w="94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t>1.1</w:t>
            </w:r>
            <w:r>
              <w:rPr>
                <w:rFonts w:ascii="Calibri" w:eastAsia="Calibri" w:hAnsi="Calibri" w:cs="Calibri"/>
              </w:rPr>
              <w:t xml:space="preserve"> </w:t>
            </w:r>
          </w:p>
        </w:tc>
        <w:tc>
          <w:tcPr>
            <w:tcW w:w="325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2" w:line="236" w:lineRule="auto"/>
              <w:ind w:left="7" w:right="46" w:firstLine="0"/>
              <w:jc w:val="both"/>
            </w:pPr>
            <w:r>
              <w:t xml:space="preserve">Тема 1.1. Понятие трансграничного расчётного правоотношения. Совершенствование подходов к правовому регулированию расчётов по трансграничных </w:t>
            </w:r>
          </w:p>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jc w:val="both"/>
            </w:pPr>
            <w:r>
              <w:t>(внешнеэкономическим) сделкам и контрактам /Лек/</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1" w:firstLine="0"/>
              <w:jc w:val="center"/>
            </w:pPr>
            <w:r>
              <w:t>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2109B4" w:rsidRPr="00A6171E" w:rsidRDefault="00A8387B">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A6171E" w:rsidRPr="00A6171E">
              <w:t>ПК-4</w:t>
            </w:r>
            <w:r w:rsidR="006E6604">
              <w:t>.1</w:t>
            </w:r>
          </w:p>
        </w:tc>
        <w:tc>
          <w:tcPr>
            <w:tcW w:w="135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6" w:right="15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2109B4">
        <w:trPr>
          <w:trHeight w:val="917"/>
        </w:trPr>
        <w:tc>
          <w:tcPr>
            <w:tcW w:w="94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t>1.2</w:t>
            </w:r>
            <w:r>
              <w:rPr>
                <w:rFonts w:ascii="Calibri" w:eastAsia="Calibri" w:hAnsi="Calibri" w:cs="Calibri"/>
              </w:rPr>
              <w:t xml:space="preserve"> </w:t>
            </w:r>
          </w:p>
        </w:tc>
        <w:tc>
          <w:tcPr>
            <w:tcW w:w="325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38" w:lineRule="auto"/>
              <w:ind w:left="7" w:firstLine="0"/>
              <w:jc w:val="both"/>
            </w:pPr>
            <w:r>
              <w:t xml:space="preserve">Тема 1.2. Совершенствование подходов к правовому регулированию </w:t>
            </w:r>
          </w:p>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t>трансграничных расчётных отношений /</w:t>
            </w:r>
            <w:proofErr w:type="spellStart"/>
            <w:r>
              <w:t>Пр</w:t>
            </w:r>
            <w:proofErr w:type="spellEnd"/>
            <w:r>
              <w:t>/</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1" w:firstLine="0"/>
              <w:jc w:val="center"/>
            </w:pPr>
            <w:r>
              <w:t>6</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2109B4" w:rsidRPr="00A6171E" w:rsidRDefault="006E6604">
            <w:pPr>
              <w:pBdr>
                <w:top w:val="none" w:sz="0" w:space="0" w:color="auto"/>
                <w:left w:val="none" w:sz="0" w:space="0" w:color="auto"/>
                <w:bottom w:val="none" w:sz="0" w:space="0" w:color="auto"/>
                <w:right w:val="none" w:sz="0" w:space="0" w:color="auto"/>
              </w:pBdr>
              <w:spacing w:after="0" w:line="259" w:lineRule="auto"/>
              <w:ind w:left="7" w:firstLine="0"/>
              <w:rPr>
                <w:b/>
              </w:rPr>
            </w:pPr>
            <w:r w:rsidRPr="00A6171E">
              <w:t>ПК-4</w:t>
            </w:r>
            <w:r>
              <w:t>.1</w:t>
            </w:r>
          </w:p>
        </w:tc>
        <w:tc>
          <w:tcPr>
            <w:tcW w:w="135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6" w:right="15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2109B4">
        <w:trPr>
          <w:trHeight w:val="917"/>
        </w:trPr>
        <w:tc>
          <w:tcPr>
            <w:tcW w:w="94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t>1.3</w:t>
            </w:r>
            <w:r>
              <w:rPr>
                <w:rFonts w:ascii="Calibri" w:eastAsia="Calibri" w:hAnsi="Calibri" w:cs="Calibri"/>
              </w:rPr>
              <w:t xml:space="preserve"> </w:t>
            </w:r>
          </w:p>
        </w:tc>
        <w:tc>
          <w:tcPr>
            <w:tcW w:w="325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t>Понятие трансграничного расчётного правоотношения /Ср/</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16</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2109B4" w:rsidRDefault="006E6604">
            <w:pPr>
              <w:pBdr>
                <w:top w:val="none" w:sz="0" w:space="0" w:color="auto"/>
                <w:left w:val="none" w:sz="0" w:space="0" w:color="auto"/>
                <w:bottom w:val="none" w:sz="0" w:space="0" w:color="auto"/>
                <w:right w:val="none" w:sz="0" w:space="0" w:color="auto"/>
              </w:pBdr>
              <w:spacing w:after="0" w:line="259" w:lineRule="auto"/>
              <w:ind w:left="7" w:firstLine="0"/>
            </w:pPr>
            <w:r w:rsidRPr="00A6171E">
              <w:t>ПК-4</w:t>
            </w:r>
            <w:r>
              <w:t>.1</w:t>
            </w:r>
          </w:p>
        </w:tc>
        <w:tc>
          <w:tcPr>
            <w:tcW w:w="135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6" w:right="15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2109B4">
        <w:trPr>
          <w:trHeight w:val="917"/>
        </w:trPr>
        <w:tc>
          <w:tcPr>
            <w:tcW w:w="94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lastRenderedPageBreak/>
              <w:t xml:space="preserve"> </w:t>
            </w:r>
          </w:p>
        </w:tc>
        <w:tc>
          <w:tcPr>
            <w:tcW w:w="325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rPr>
                <w:b/>
              </w:rPr>
              <w:t xml:space="preserve">Раздел 2. Виды расчетов по </w:t>
            </w:r>
          </w:p>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rPr>
                <w:b/>
              </w:rPr>
              <w:t xml:space="preserve">трансграничным </w:t>
            </w:r>
          </w:p>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rPr>
                <w:b/>
              </w:rPr>
              <w:t>(внешнеэкономическим) сделкам и контрактам</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3"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2109B4" w:rsidRDefault="00A8387B" w:rsidP="00A6171E">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35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2109B4">
        <w:trPr>
          <w:trHeight w:val="1359"/>
        </w:trPr>
        <w:tc>
          <w:tcPr>
            <w:tcW w:w="94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t>2.1</w:t>
            </w:r>
            <w:r>
              <w:rPr>
                <w:rFonts w:ascii="Calibri" w:eastAsia="Calibri" w:hAnsi="Calibri" w:cs="Calibri"/>
              </w:rPr>
              <w:t xml:space="preserve"> </w:t>
            </w:r>
          </w:p>
        </w:tc>
        <w:tc>
          <w:tcPr>
            <w:tcW w:w="325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7" w:line="236" w:lineRule="auto"/>
              <w:ind w:left="7" w:right="94" w:firstLine="0"/>
              <w:jc w:val="both"/>
            </w:pPr>
            <w:r>
              <w:t xml:space="preserve">Тема 2.1. Расчеты в форме аванса и платежа по открытому счёту. Международные расчёты в форме документарного аккредитива. Расчёты в форме документарного инкассо.  </w:t>
            </w:r>
          </w:p>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t>/Лек/</w:t>
            </w:r>
            <w:r>
              <w:rPr>
                <w:rFonts w:ascii="Calibri" w:eastAsia="Calibri" w:hAnsi="Calibri" w:cs="Calibri"/>
              </w:rPr>
              <w:t xml:space="preserve"> </w:t>
            </w:r>
          </w:p>
        </w:tc>
        <w:tc>
          <w:tcPr>
            <w:tcW w:w="9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6"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1" w:firstLine="0"/>
              <w:jc w:val="center"/>
            </w:pPr>
            <w:r>
              <w:t>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r w:rsidR="006E6604" w:rsidRPr="00A6171E">
              <w:t>ПК-4</w:t>
            </w:r>
            <w:r w:rsidR="006E6604">
              <w:t>.1</w:t>
            </w:r>
          </w:p>
        </w:tc>
        <w:tc>
          <w:tcPr>
            <w:tcW w:w="1354"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6" w:right="15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9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7" w:firstLine="0"/>
              <w:jc w:val="center"/>
            </w:pPr>
            <w:r>
              <w:t>0</w:t>
            </w:r>
            <w:r>
              <w:rPr>
                <w:rFonts w:ascii="Calibri" w:eastAsia="Calibri" w:hAnsi="Calibri" w:cs="Calibri"/>
              </w:rPr>
              <w:t xml:space="preserve"> </w:t>
            </w:r>
          </w:p>
        </w:tc>
        <w:tc>
          <w:tcPr>
            <w:tcW w:w="125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5277"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11" w:type="dxa"/>
          <w:left w:w="38" w:type="dxa"/>
          <w:right w:w="139" w:type="dxa"/>
        </w:tblCellMar>
        <w:tblLook w:val="04A0" w:firstRow="1" w:lastRow="0" w:firstColumn="1" w:lastColumn="0" w:noHBand="0" w:noVBand="1"/>
      </w:tblPr>
      <w:tblGrid>
        <w:gridCol w:w="950"/>
        <w:gridCol w:w="3395"/>
        <w:gridCol w:w="931"/>
        <w:gridCol w:w="692"/>
        <w:gridCol w:w="1057"/>
        <w:gridCol w:w="1373"/>
        <w:gridCol w:w="673"/>
        <w:gridCol w:w="1205"/>
      </w:tblGrid>
      <w:tr w:rsidR="002109B4">
        <w:trPr>
          <w:trHeight w:val="917"/>
        </w:trPr>
        <w:tc>
          <w:tcPr>
            <w:tcW w:w="95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2.2</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both"/>
            </w:pPr>
            <w:r>
              <w:t>Тема 2.2. Вексель и чек в международных расчётах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6</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2109B4" w:rsidRDefault="006E6604">
            <w:pPr>
              <w:pBdr>
                <w:top w:val="none" w:sz="0" w:space="0" w:color="auto"/>
                <w:left w:val="none" w:sz="0" w:space="0" w:color="auto"/>
                <w:bottom w:val="none" w:sz="0" w:space="0" w:color="auto"/>
                <w:right w:val="none" w:sz="0" w:space="0" w:color="auto"/>
              </w:pBdr>
              <w:spacing w:after="0" w:line="259" w:lineRule="auto"/>
              <w:ind w:left="0" w:firstLine="0"/>
            </w:pPr>
            <w:r w:rsidRPr="00A6171E">
              <w:t>ПК-4</w:t>
            </w:r>
            <w:r>
              <w:t>.1</w:t>
            </w:r>
          </w:p>
        </w:tc>
        <w:tc>
          <w:tcPr>
            <w:tcW w:w="13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8" w:right="29"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2109B4">
        <w:trPr>
          <w:trHeight w:val="917"/>
        </w:trPr>
        <w:tc>
          <w:tcPr>
            <w:tcW w:w="95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2.3</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Тема 2.3. Гарантии в трансграничных расчётных отношениях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4</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6E6604" w:rsidRPr="00A6171E">
              <w:t>ПК-4</w:t>
            </w:r>
            <w:r w:rsidR="006E6604">
              <w:t>.1</w:t>
            </w:r>
          </w:p>
        </w:tc>
        <w:tc>
          <w:tcPr>
            <w:tcW w:w="13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8" w:right="29"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2109B4">
        <w:trPr>
          <w:trHeight w:val="917"/>
        </w:trPr>
        <w:tc>
          <w:tcPr>
            <w:tcW w:w="95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2.4</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/ИКР/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0,2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6E6604" w:rsidRPr="00A6171E">
              <w:t>ПК-4</w:t>
            </w:r>
            <w:r w:rsidR="006E6604">
              <w:t>.1</w:t>
            </w:r>
          </w:p>
        </w:tc>
        <w:tc>
          <w:tcPr>
            <w:tcW w:w="13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8" w:right="29"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2109B4">
        <w:trPr>
          <w:trHeight w:val="917"/>
        </w:trPr>
        <w:tc>
          <w:tcPr>
            <w:tcW w:w="95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2.5</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both"/>
            </w:pPr>
            <w:r>
              <w:t>Расчёты в форме аванса и платежа по открытому счёту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14</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6E6604" w:rsidRPr="00A6171E">
              <w:t>ПК-4</w:t>
            </w:r>
            <w:r w:rsidR="006E6604">
              <w:t>.1</w:t>
            </w:r>
          </w:p>
        </w:tc>
        <w:tc>
          <w:tcPr>
            <w:tcW w:w="13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8" w:right="29"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2109B4">
        <w:trPr>
          <w:trHeight w:val="917"/>
        </w:trPr>
        <w:tc>
          <w:tcPr>
            <w:tcW w:w="95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2.6</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Международные расчёты в форме документарного аккредитива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22</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6E6604" w:rsidRPr="00A6171E">
              <w:t>ПК-4</w:t>
            </w:r>
            <w:r w:rsidR="006E6604">
              <w:t>.1</w:t>
            </w:r>
          </w:p>
        </w:tc>
        <w:tc>
          <w:tcPr>
            <w:tcW w:w="13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8" w:right="29"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2109B4">
        <w:trPr>
          <w:trHeight w:val="917"/>
        </w:trPr>
        <w:tc>
          <w:tcPr>
            <w:tcW w:w="95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2.7</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both"/>
            </w:pPr>
            <w:r>
              <w:t>Расчёты в форме документарного инкассо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8</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1" w:firstLine="0"/>
              <w:jc w:val="center"/>
            </w:pPr>
            <w:r>
              <w:t>20,8</w:t>
            </w:r>
            <w:r>
              <w:rPr>
                <w:rFonts w:ascii="Calibri" w:eastAsia="Calibri" w:hAnsi="Calibri" w:cs="Calibri"/>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6E6604" w:rsidRPr="00A6171E">
              <w:t>ПК-4</w:t>
            </w:r>
            <w:r w:rsidR="006E6604">
              <w:t>.1</w:t>
            </w:r>
            <w:bookmarkStart w:id="0" w:name="_GoBack"/>
            <w:bookmarkEnd w:id="0"/>
          </w:p>
        </w:tc>
        <w:tc>
          <w:tcPr>
            <w:tcW w:w="13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Л1.1 Л1.2 </w:t>
            </w:r>
          </w:p>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 xml:space="preserve">Л1.3Л2.1 </w:t>
            </w:r>
          </w:p>
          <w:p w:rsidR="002109B4" w:rsidRDefault="00A8387B">
            <w:pPr>
              <w:pBdr>
                <w:top w:val="none" w:sz="0" w:space="0" w:color="auto"/>
                <w:left w:val="none" w:sz="0" w:space="0" w:color="auto"/>
                <w:bottom w:val="none" w:sz="0" w:space="0" w:color="auto"/>
                <w:right w:val="none" w:sz="0" w:space="0" w:color="auto"/>
              </w:pBdr>
              <w:spacing w:after="0" w:line="259" w:lineRule="auto"/>
              <w:ind w:left="168" w:right="29"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100"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4" w:type="dxa"/>
          <w:left w:w="31" w:type="dxa"/>
          <w:right w:w="31" w:type="dxa"/>
        </w:tblCellMar>
        <w:tblLook w:val="04A0" w:firstRow="1" w:lastRow="0" w:firstColumn="1" w:lastColumn="0" w:noHBand="0" w:noVBand="1"/>
      </w:tblPr>
      <w:tblGrid>
        <w:gridCol w:w="10272"/>
      </w:tblGrid>
      <w:tr w:rsidR="002109B4">
        <w:trPr>
          <w:trHeight w:val="547"/>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807" w:right="808"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2109B4">
        <w:trPr>
          <w:trHeight w:val="281"/>
        </w:trPr>
        <w:tc>
          <w:tcPr>
            <w:tcW w:w="1027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4" w:firstLine="0"/>
              <w:jc w:val="center"/>
            </w:pPr>
            <w:r>
              <w:rPr>
                <w:b/>
              </w:rPr>
              <w:t>5.1. Контрольные вопросы и задания</w:t>
            </w:r>
            <w:r>
              <w:rPr>
                <w:rFonts w:ascii="Calibri" w:eastAsia="Calibri" w:hAnsi="Calibri" w:cs="Calibri"/>
              </w:rPr>
              <w:t xml:space="preserve"> </w:t>
            </w:r>
          </w:p>
        </w:tc>
      </w:tr>
      <w:tr w:rsidR="002109B4">
        <w:trPr>
          <w:trHeight w:val="7072"/>
        </w:trPr>
        <w:tc>
          <w:tcPr>
            <w:tcW w:w="10272" w:type="dxa"/>
            <w:tcBorders>
              <w:top w:val="single" w:sz="8" w:space="0" w:color="000000"/>
              <w:left w:val="single" w:sz="8" w:space="0" w:color="000000"/>
              <w:bottom w:val="single" w:sz="8" w:space="0" w:color="000000"/>
              <w:right w:val="single" w:sz="8" w:space="0" w:color="000000"/>
            </w:tcBorders>
          </w:tcPr>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lastRenderedPageBreak/>
              <w:t>Понятие трансграничных расчётных правоотношений</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Соотношение понятий «международные денежные обязательства» и «трансграничные расчетные правоотношения».</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Понятие международной системы платежей</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line="237" w:lineRule="auto"/>
              <w:ind w:firstLine="0"/>
            </w:pPr>
            <w:r>
              <w:t xml:space="preserve">Участники внешнеэкономических (трансграничных) сделок и </w:t>
            </w:r>
            <w:proofErr w:type="gramStart"/>
            <w:r>
              <w:t>контрактов</w:t>
            </w:r>
            <w:proofErr w:type="gramEnd"/>
            <w:r>
              <w:t xml:space="preserve"> и банки как основные субъекты международных расчетных правоотношений</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Зависимость международных расчетных правоотношений от конкретных условий трансграничных договоров</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 xml:space="preserve">Документарные и </w:t>
            </w:r>
            <w:proofErr w:type="spellStart"/>
            <w:r>
              <w:t>недокументарные</w:t>
            </w:r>
            <w:proofErr w:type="spellEnd"/>
            <w:r>
              <w:t xml:space="preserve"> операции при осуществлении международных расчетов</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Понятие и содержание гарантии в трансграничных расчетных правоотношениях</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Виды гарантии в трансграничных расчетных правоотношениях</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Содержание, роль и значение унифицированных правил по гарантиям в трансграничных расчетных правоотношениях</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Расчёты в форме аванса</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Сущность расчётов по открытому счёту</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Международные расчёты в форме документарного аккредитива</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11" w:line="237" w:lineRule="auto"/>
              <w:ind w:firstLine="0"/>
            </w:pPr>
            <w:r>
              <w:t>Стороны, форма, структура расчетных операций по аккредитиву во внешнеэкономической деятельности, основания ответственности.</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Расчёты в форме документарного инкассо. Отличия от аккредитива</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15" w:line="259" w:lineRule="auto"/>
              <w:ind w:firstLine="0"/>
            </w:pPr>
            <w:r>
              <w:t>Вексель в международных расчетах. Роль и значение Единообразного вексельного закона</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15" w:line="232" w:lineRule="auto"/>
              <w:ind w:firstLine="0"/>
            </w:pPr>
            <w:r>
              <w:t>Международные соглашения по вексельному праву. Содержание и значение Нью-Йоркской конвенции о международных переводных и международных простых векселях 1988 года.</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Понятие и содержание чека в международных расчетах</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Выбор права, применимого к чековым правоотношениям, осложнённым иностранным элементом</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Формы расчетных операций по трансграничным (внешнеэкономическим сделкам и контрактам.</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37" w:lineRule="auto"/>
              <w:ind w:firstLine="0"/>
            </w:pPr>
            <w:r>
              <w:t>Коллизии вексельного обращения. Коллизионные привязки, применяемые при регулировании международных расчетов в форме векселя.</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37" w:lineRule="auto"/>
              <w:ind w:firstLine="0"/>
            </w:pPr>
            <w:r>
              <w:t>Нормы национального законодательства, регулирующие расчетные отношения с использованием векселя, осложнённые иностранным элементом.</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line="237" w:lineRule="auto"/>
              <w:ind w:firstLine="0"/>
            </w:pPr>
            <w:r>
              <w:t>Стороны, форма, структура расчетных операций по инкассо во внешнеэкономической деятельности, основания ответственности.</w:t>
            </w:r>
            <w:r>
              <w:rPr>
                <w:rFonts w:ascii="Calibri" w:eastAsia="Calibri" w:hAnsi="Calibri" w:cs="Calibri"/>
              </w:rPr>
              <w:t xml:space="preserve"> </w:t>
            </w:r>
          </w:p>
          <w:p w:rsidR="002109B4" w:rsidRDefault="00A8387B">
            <w:pPr>
              <w:numPr>
                <w:ilvl w:val="0"/>
                <w:numId w:val="1"/>
              </w:numPr>
              <w:pBdr>
                <w:top w:val="none" w:sz="0" w:space="0" w:color="auto"/>
                <w:left w:val="none" w:sz="0" w:space="0" w:color="auto"/>
                <w:bottom w:val="none" w:sz="0" w:space="0" w:color="auto"/>
                <w:right w:val="none" w:sz="0" w:space="0" w:color="auto"/>
              </w:pBdr>
              <w:spacing w:after="0" w:line="259" w:lineRule="auto"/>
              <w:ind w:firstLine="0"/>
            </w:pPr>
            <w:r>
              <w:t>Унифицированные правила и обычаи для документарных аккредитивов</w:t>
            </w:r>
            <w:r>
              <w:rPr>
                <w:rFonts w:ascii="Calibri" w:eastAsia="Calibri" w:hAnsi="Calibri" w:cs="Calibri"/>
              </w:rPr>
              <w:t xml:space="preserve"> </w:t>
            </w:r>
            <w:r>
              <w:t>24.  Унифицированные правила по инкассо</w:t>
            </w:r>
            <w:r>
              <w:rPr>
                <w:rFonts w:ascii="Calibri" w:eastAsia="Calibri" w:hAnsi="Calibri" w:cs="Calibri"/>
              </w:rPr>
              <w:t xml:space="preserve"> </w:t>
            </w:r>
          </w:p>
        </w:tc>
      </w:tr>
      <w:tr w:rsidR="002109B4">
        <w:trPr>
          <w:trHeight w:val="278"/>
        </w:trPr>
        <w:tc>
          <w:tcPr>
            <w:tcW w:w="1027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8" w:firstLine="0"/>
              <w:jc w:val="center"/>
            </w:pPr>
            <w:r>
              <w:rPr>
                <w:b/>
              </w:rPr>
              <w:t>5.2. Темы письменных работ</w:t>
            </w:r>
            <w:r>
              <w:rPr>
                <w:rFonts w:ascii="Calibri" w:eastAsia="Calibri" w:hAnsi="Calibri" w:cs="Calibri"/>
              </w:rPr>
              <w:t xml:space="preserve"> </w:t>
            </w:r>
          </w:p>
        </w:tc>
      </w:tr>
      <w:tr w:rsidR="002109B4">
        <w:trPr>
          <w:trHeight w:val="1008"/>
        </w:trPr>
        <w:tc>
          <w:tcPr>
            <w:tcW w:w="1027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 xml:space="preserve">1.Соотношение понятий «международные денежные обязательства» и «трансграничные расчетные правоотношения». </w:t>
            </w:r>
          </w:p>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Понятие международной системы платежей</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2.Участники внешнеэкономических (трансграничных) сделок и контрактов и банки как основные субъекты международных расчетных правоотношений</w:t>
            </w:r>
            <w:r>
              <w:rPr>
                <w:rFonts w:ascii="Calibri" w:eastAsia="Calibri" w:hAnsi="Calibri" w:cs="Calibri"/>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right="1323"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6" w:type="dxa"/>
        <w:tblInd w:w="0" w:type="dxa"/>
        <w:tblCellMar>
          <w:top w:w="44" w:type="dxa"/>
          <w:left w:w="34" w:type="dxa"/>
          <w:right w:w="38" w:type="dxa"/>
        </w:tblCellMar>
        <w:tblLook w:val="04A0" w:firstRow="1" w:lastRow="0" w:firstColumn="1" w:lastColumn="0" w:noHBand="0" w:noVBand="1"/>
      </w:tblPr>
      <w:tblGrid>
        <w:gridCol w:w="10276"/>
      </w:tblGrid>
      <w:tr w:rsidR="002109B4">
        <w:trPr>
          <w:trHeight w:val="1358"/>
        </w:trPr>
        <w:tc>
          <w:tcPr>
            <w:tcW w:w="102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3.Зависимость международных расчетных правоотношений от конкретных условий трансграничных договоров</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15" w:line="259" w:lineRule="auto"/>
              <w:ind w:left="0" w:firstLine="0"/>
            </w:pPr>
            <w:r>
              <w:t xml:space="preserve">4.Документарные и </w:t>
            </w:r>
            <w:proofErr w:type="spellStart"/>
            <w:r>
              <w:t>недокументарные</w:t>
            </w:r>
            <w:proofErr w:type="spellEnd"/>
            <w:r>
              <w:t xml:space="preserve"> операции при осуществлении международных расчетов</w:t>
            </w:r>
            <w:r>
              <w:rPr>
                <w:rFonts w:ascii="Calibri" w:eastAsia="Calibri" w:hAnsi="Calibri" w:cs="Calibri"/>
              </w:rPr>
              <w:t xml:space="preserve"> </w:t>
            </w:r>
          </w:p>
          <w:p w:rsidR="002109B4" w:rsidRDefault="00A8387B">
            <w:pPr>
              <w:numPr>
                <w:ilvl w:val="0"/>
                <w:numId w:val="2"/>
              </w:numPr>
              <w:pBdr>
                <w:top w:val="none" w:sz="0" w:space="0" w:color="auto"/>
                <w:left w:val="none" w:sz="0" w:space="0" w:color="auto"/>
                <w:bottom w:val="none" w:sz="0" w:space="0" w:color="auto"/>
                <w:right w:val="none" w:sz="0" w:space="0" w:color="auto"/>
              </w:pBdr>
              <w:spacing w:after="0" w:line="259" w:lineRule="auto"/>
              <w:ind w:hanging="192"/>
            </w:pPr>
            <w:r>
              <w:t>Понятие и содержание гарантии в трансграничных расчетных правоотношениях</w:t>
            </w:r>
            <w:r>
              <w:rPr>
                <w:rFonts w:ascii="Calibri" w:eastAsia="Calibri" w:hAnsi="Calibri" w:cs="Calibri"/>
              </w:rPr>
              <w:t xml:space="preserve"> </w:t>
            </w:r>
          </w:p>
          <w:p w:rsidR="002109B4" w:rsidRDefault="00A8387B">
            <w:pPr>
              <w:numPr>
                <w:ilvl w:val="0"/>
                <w:numId w:val="2"/>
              </w:numPr>
              <w:pBdr>
                <w:top w:val="none" w:sz="0" w:space="0" w:color="auto"/>
                <w:left w:val="none" w:sz="0" w:space="0" w:color="auto"/>
                <w:bottom w:val="none" w:sz="0" w:space="0" w:color="auto"/>
                <w:right w:val="none" w:sz="0" w:space="0" w:color="auto"/>
              </w:pBdr>
              <w:spacing w:after="0" w:line="259" w:lineRule="auto"/>
              <w:ind w:hanging="192"/>
            </w:pPr>
            <w:r>
              <w:t>Виды гарантии в трансграничных расчетных правоотношениях</w:t>
            </w:r>
            <w:r>
              <w:rPr>
                <w:rFonts w:ascii="Calibri" w:eastAsia="Calibri" w:hAnsi="Calibri" w:cs="Calibri"/>
              </w:rPr>
              <w:t xml:space="preserve"> </w:t>
            </w:r>
          </w:p>
          <w:p w:rsidR="002109B4" w:rsidRDefault="00A8387B">
            <w:pPr>
              <w:numPr>
                <w:ilvl w:val="0"/>
                <w:numId w:val="2"/>
              </w:numPr>
              <w:pBdr>
                <w:top w:val="none" w:sz="0" w:space="0" w:color="auto"/>
                <w:left w:val="none" w:sz="0" w:space="0" w:color="auto"/>
                <w:bottom w:val="none" w:sz="0" w:space="0" w:color="auto"/>
                <w:right w:val="none" w:sz="0" w:space="0" w:color="auto"/>
              </w:pBdr>
              <w:spacing w:after="0" w:line="259" w:lineRule="auto"/>
              <w:ind w:hanging="192"/>
            </w:pPr>
            <w:r>
              <w:t>Содержание, роль и значение унифицированных правил по гарантиям в трансграничных расчетных правоотношениях</w:t>
            </w:r>
            <w:r>
              <w:rPr>
                <w:rFonts w:ascii="Calibri" w:eastAsia="Calibri" w:hAnsi="Calibri" w:cs="Calibri"/>
              </w:rPr>
              <w:t xml:space="preserve"> </w:t>
            </w:r>
          </w:p>
        </w:tc>
      </w:tr>
      <w:tr w:rsidR="002109B4">
        <w:trPr>
          <w:trHeight w:val="274"/>
        </w:trPr>
        <w:tc>
          <w:tcPr>
            <w:tcW w:w="102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8" w:firstLine="0"/>
              <w:jc w:val="center"/>
            </w:pPr>
            <w:r>
              <w:rPr>
                <w:b/>
              </w:rPr>
              <w:t>5.3. Оценочные материалы (оценочные средства)</w:t>
            </w:r>
            <w:r>
              <w:rPr>
                <w:rFonts w:ascii="Calibri" w:eastAsia="Calibri" w:hAnsi="Calibri" w:cs="Calibri"/>
              </w:rPr>
              <w:t xml:space="preserve"> </w:t>
            </w:r>
          </w:p>
        </w:tc>
      </w:tr>
      <w:tr w:rsidR="002109B4">
        <w:trPr>
          <w:trHeight w:val="278"/>
        </w:trPr>
        <w:tc>
          <w:tcPr>
            <w:tcW w:w="102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Комплект оценочных материалов (оценочных средств) по дисциплине прилагается.</w:t>
            </w:r>
            <w:r>
              <w:rPr>
                <w:rFonts w:ascii="Calibri" w:eastAsia="Calibri" w:hAnsi="Calibri" w:cs="Calibri"/>
              </w:rPr>
              <w:t xml:space="preserve"> </w:t>
            </w:r>
          </w:p>
        </w:tc>
      </w:tr>
      <w:tr w:rsidR="002109B4">
        <w:trPr>
          <w:trHeight w:val="278"/>
        </w:trPr>
        <w:tc>
          <w:tcPr>
            <w:tcW w:w="102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4" w:firstLine="0"/>
              <w:jc w:val="center"/>
            </w:pPr>
            <w:r>
              <w:rPr>
                <w:b/>
              </w:rPr>
              <w:t>5.4. Перечень видов оценочных средств</w:t>
            </w:r>
            <w:r>
              <w:rPr>
                <w:rFonts w:ascii="Calibri" w:eastAsia="Calibri" w:hAnsi="Calibri" w:cs="Calibri"/>
              </w:rPr>
              <w:t xml:space="preserve"> </w:t>
            </w:r>
          </w:p>
        </w:tc>
      </w:tr>
      <w:tr w:rsidR="002109B4">
        <w:trPr>
          <w:trHeight w:val="475"/>
        </w:trPr>
        <w:tc>
          <w:tcPr>
            <w:tcW w:w="1027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both"/>
            </w:pPr>
            <w:r>
              <w:t>Темы докладов, банк тестовых заданий, кейс-задачи, перечень вопросов для проведения промежуточной аттестации, перечень вопросов для практических занятий</w:t>
            </w:r>
            <w:r>
              <w:rPr>
                <w:rFonts w:ascii="Calibri" w:eastAsia="Calibri" w:hAnsi="Calibri" w:cs="Calibri"/>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3" w:type="dxa"/>
          <w:left w:w="31" w:type="dxa"/>
        </w:tblCellMar>
        <w:tblLook w:val="04A0" w:firstRow="1" w:lastRow="0" w:firstColumn="1" w:lastColumn="0" w:noHBand="0" w:noVBand="1"/>
      </w:tblPr>
      <w:tblGrid>
        <w:gridCol w:w="699"/>
        <w:gridCol w:w="1896"/>
        <w:gridCol w:w="4058"/>
        <w:gridCol w:w="2261"/>
        <w:gridCol w:w="1358"/>
      </w:tblGrid>
      <w:tr w:rsidR="002109B4">
        <w:trPr>
          <w:trHeight w:val="274"/>
        </w:trPr>
        <w:tc>
          <w:tcPr>
            <w:tcW w:w="10272" w:type="dxa"/>
            <w:gridSpan w:val="5"/>
            <w:tcBorders>
              <w:top w:val="nil"/>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2"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2109B4">
        <w:trPr>
          <w:trHeight w:val="276"/>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6.1. Рекомендуемая литература</w:t>
            </w:r>
            <w:r>
              <w:rPr>
                <w:rFonts w:ascii="Calibri" w:eastAsia="Calibri" w:hAnsi="Calibri" w:cs="Calibri"/>
              </w:rPr>
              <w:t xml:space="preserve"> </w:t>
            </w:r>
          </w:p>
        </w:tc>
      </w:tr>
      <w:tr w:rsidR="002109B4">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3" w:firstLine="0"/>
              <w:jc w:val="center"/>
            </w:pPr>
            <w:r>
              <w:rPr>
                <w:b/>
              </w:rPr>
              <w:t>6.1.1. Основная литература</w:t>
            </w:r>
            <w:r>
              <w:rPr>
                <w:rFonts w:ascii="Calibri" w:eastAsia="Calibri" w:hAnsi="Calibri" w:cs="Calibri"/>
              </w:rPr>
              <w:t xml:space="preserve"> </w:t>
            </w:r>
          </w:p>
        </w:tc>
      </w:tr>
      <w:tr w:rsidR="002109B4">
        <w:trPr>
          <w:trHeight w:val="278"/>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60" w:firstLine="0"/>
            </w:pPr>
            <w:r>
              <w:t>Авторы, составители</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8" w:firstLine="0"/>
              <w:jc w:val="center"/>
            </w:pPr>
            <w:r>
              <w:t>Заглавие</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40" w:firstLine="0"/>
              <w:jc w:val="center"/>
            </w:pPr>
            <w:r>
              <w:t>Издательство, год</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t>Количество</w:t>
            </w:r>
            <w:r>
              <w:rPr>
                <w:rFonts w:ascii="Calibri" w:eastAsia="Calibri" w:hAnsi="Calibri" w:cs="Calibri"/>
              </w:rPr>
              <w:t xml:space="preserve"> </w:t>
            </w:r>
          </w:p>
        </w:tc>
      </w:tr>
      <w:tr w:rsidR="002109B4">
        <w:trPr>
          <w:trHeight w:val="3332"/>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center"/>
            </w:pPr>
            <w:r>
              <w:lastRenderedPageBreak/>
              <w:t>Л1.1</w:t>
            </w:r>
            <w:r>
              <w:rPr>
                <w:rFonts w:ascii="Calibri" w:eastAsia="Calibri" w:hAnsi="Calibri" w:cs="Calibri"/>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Артемов Н. М.,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Ашмарина</w:t>
            </w:r>
            <w:proofErr w:type="spellEnd"/>
            <w:r>
              <w:t xml:space="preserve"> Е. М.,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Демченко М. В.,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Карташов А. В.,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Ключникова</w:t>
            </w:r>
            <w:proofErr w:type="spellEnd"/>
            <w:r>
              <w:t xml:space="preserve"> Я. А.,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Курдяев</w:t>
            </w:r>
            <w:proofErr w:type="spellEnd"/>
            <w:r>
              <w:t xml:space="preserve"> А. Е.,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Матвеева Н. А.,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Матвиенко Г. В.,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Ручкина Г. Ф.,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Савельев В. Н.,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Ситник А. А.,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Терехова Е. В.,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Артемов Н. М.,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Ашмарина</w:t>
            </w:r>
            <w:proofErr w:type="spellEnd"/>
            <w:r>
              <w:t xml:space="preserve"> Е. М., Ручкина Г. Ф.</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7" w:line="242" w:lineRule="auto"/>
              <w:ind w:left="2" w:firstLine="0"/>
            </w:pPr>
            <w:r>
              <w:t xml:space="preserve">Экономическое право Российской Федерации. Инновационный проект (раздел V. Правовое регулирование внешнеэкономической деятельности и экономическое право российской федерации; раздел VI. Особенности правового регулирования сельского хозяйства, жилищно-коммунальной сферы, туристской деятельности и деятельности в сфере рекламы):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Монография</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http://www.iprbookshop.ru/78871.html</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Москва: </w:t>
            </w:r>
            <w:proofErr w:type="spellStart"/>
            <w:r>
              <w:t>Русайнс</w:t>
            </w:r>
            <w:proofErr w:type="spellEnd"/>
            <w:r>
              <w:t>, 2018</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vAlign w:val="center"/>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6" w:firstLine="0"/>
              <w:jc w:val="center"/>
            </w:pPr>
            <w:r>
              <w:t>ЭБС</w:t>
            </w:r>
            <w:r>
              <w:rPr>
                <w:rFonts w:ascii="Calibri" w:eastAsia="Calibri" w:hAnsi="Calibri" w:cs="Calibri"/>
              </w:rPr>
              <w:t xml:space="preserve"> </w:t>
            </w:r>
          </w:p>
        </w:tc>
      </w:tr>
      <w:tr w:rsidR="002109B4">
        <w:trPr>
          <w:trHeight w:val="1359"/>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center"/>
            </w:pPr>
            <w:r>
              <w:t>Л1.2</w:t>
            </w:r>
            <w:r>
              <w:rPr>
                <w:rFonts w:ascii="Calibri" w:eastAsia="Calibri" w:hAnsi="Calibri" w:cs="Calibri"/>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Аксенова Н. И.</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6" w:line="238" w:lineRule="auto"/>
              <w:ind w:left="2" w:firstLine="0"/>
              <w:jc w:val="both"/>
            </w:pPr>
            <w:r>
              <w:t xml:space="preserve">Международные валютно-кредитные и финансовые отношения: учебное пособие: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Учебное пособие</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https://biblioclub.ru/index.php?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page</w:t>
            </w:r>
            <w:proofErr w:type="spellEnd"/>
            <w:r>
              <w:t>=</w:t>
            </w:r>
            <w:proofErr w:type="spellStart"/>
            <w:r>
              <w:t>book&amp;id</w:t>
            </w:r>
            <w:proofErr w:type="spellEnd"/>
            <w:r>
              <w:t>=575305</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3" w:line="236" w:lineRule="auto"/>
              <w:ind w:left="2" w:firstLine="0"/>
            </w:pPr>
            <w:proofErr w:type="gramStart"/>
            <w:r>
              <w:t>Новосибирск :</w:t>
            </w:r>
            <w:proofErr w:type="gramEnd"/>
            <w:r>
              <w:t xml:space="preserve"> Новосибирский государственный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jc w:val="both"/>
            </w:pPr>
            <w:r>
              <w:t xml:space="preserve">технический университет,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2018</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vAlign w:val="center"/>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6" w:firstLine="0"/>
              <w:jc w:val="center"/>
            </w:pPr>
            <w:r>
              <w:t>ЭБС</w:t>
            </w:r>
            <w:r>
              <w:rPr>
                <w:rFonts w:ascii="Calibri" w:eastAsia="Calibri" w:hAnsi="Calibri" w:cs="Calibri"/>
              </w:rPr>
              <w:t xml:space="preserve"> </w:t>
            </w:r>
          </w:p>
        </w:tc>
      </w:tr>
      <w:tr w:rsidR="002109B4">
        <w:trPr>
          <w:trHeight w:val="1138"/>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center"/>
            </w:pPr>
            <w:r>
              <w:t>Л1.3</w:t>
            </w:r>
            <w:r>
              <w:rPr>
                <w:rFonts w:ascii="Calibri" w:eastAsia="Calibri" w:hAnsi="Calibri" w:cs="Calibri"/>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Кривенький</w:t>
            </w:r>
            <w:proofErr w:type="spellEnd"/>
            <w:r>
              <w:t xml:space="preserve"> А. И.</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Международное частное </w:t>
            </w:r>
            <w:proofErr w:type="gramStart"/>
            <w:r>
              <w:t>право :</w:t>
            </w:r>
            <w:proofErr w:type="gramEnd"/>
            <w:r>
              <w:t xml:space="preserve"> учебник: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Учебник</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https://biblioclub.ru/index.php?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page</w:t>
            </w:r>
            <w:proofErr w:type="spellEnd"/>
            <w:r>
              <w:t>=</w:t>
            </w:r>
            <w:proofErr w:type="spellStart"/>
            <w:r>
              <w:t>book&amp;id</w:t>
            </w:r>
            <w:proofErr w:type="spellEnd"/>
            <w:r>
              <w:t>=573252</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Москва : Дашков и К°, 2020</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vAlign w:val="center"/>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6" w:firstLine="0"/>
              <w:jc w:val="center"/>
            </w:pPr>
            <w:r>
              <w:t>ЭБС</w:t>
            </w:r>
            <w:r>
              <w:rPr>
                <w:rFonts w:ascii="Calibri" w:eastAsia="Calibri" w:hAnsi="Calibri" w:cs="Calibri"/>
              </w:rPr>
              <w:t xml:space="preserve"> </w:t>
            </w:r>
          </w:p>
        </w:tc>
      </w:tr>
      <w:tr w:rsidR="002109B4">
        <w:trPr>
          <w:trHeight w:val="279"/>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3" w:firstLine="0"/>
              <w:jc w:val="center"/>
            </w:pPr>
            <w:r>
              <w:rPr>
                <w:b/>
              </w:rPr>
              <w:t>6.1.2. Дополнительная литература</w:t>
            </w:r>
            <w:r>
              <w:rPr>
                <w:rFonts w:ascii="Calibri" w:eastAsia="Calibri" w:hAnsi="Calibri" w:cs="Calibri"/>
              </w:rPr>
              <w:t xml:space="preserve"> </w:t>
            </w:r>
          </w:p>
        </w:tc>
      </w:tr>
      <w:tr w:rsidR="002109B4">
        <w:trPr>
          <w:trHeight w:val="274"/>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60" w:firstLine="0"/>
            </w:pPr>
            <w:r>
              <w:t>Авторы, составители</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8" w:firstLine="0"/>
              <w:jc w:val="center"/>
            </w:pPr>
            <w:r>
              <w:t>Заглавие</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40" w:firstLine="0"/>
              <w:jc w:val="center"/>
            </w:pPr>
            <w:r>
              <w:t>Издательство, год</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t>Количество</w:t>
            </w:r>
            <w:r>
              <w:rPr>
                <w:rFonts w:ascii="Calibri" w:eastAsia="Calibri" w:hAnsi="Calibri" w:cs="Calibri"/>
              </w:rPr>
              <w:t xml:space="preserve"> </w:t>
            </w:r>
          </w:p>
        </w:tc>
      </w:tr>
      <w:tr w:rsidR="002109B4">
        <w:trPr>
          <w:trHeight w:val="1138"/>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center"/>
            </w:pPr>
            <w:r>
              <w:t>Л2.1</w:t>
            </w:r>
            <w:r>
              <w:rPr>
                <w:rFonts w:ascii="Calibri" w:eastAsia="Calibri" w:hAnsi="Calibri" w:cs="Calibri"/>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Кайнов</w:t>
            </w:r>
            <w:proofErr w:type="spellEnd"/>
            <w:r>
              <w:t xml:space="preserve"> В. И.</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Международное частное право: учебник: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Учебник</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https://biblioclub.ru/index.php?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page</w:t>
            </w:r>
            <w:proofErr w:type="spellEnd"/>
            <w:r>
              <w:t>=</w:t>
            </w:r>
            <w:proofErr w:type="spellStart"/>
            <w:r>
              <w:t>book&amp;id</w:t>
            </w:r>
            <w:proofErr w:type="spellEnd"/>
            <w:r>
              <w:t>=574671</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Москва ; Берлин : </w:t>
            </w:r>
            <w:proofErr w:type="spellStart"/>
            <w:r>
              <w:t>Директ</w:t>
            </w:r>
            <w:proofErr w:type="spellEnd"/>
            <w:r>
              <w:t>- Медиа, 2019</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vAlign w:val="center"/>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6" w:firstLine="0"/>
              <w:jc w:val="center"/>
            </w:pPr>
            <w:r>
              <w:t>ЭБС</w:t>
            </w:r>
            <w:r>
              <w:rPr>
                <w:rFonts w:ascii="Calibri" w:eastAsia="Calibri" w:hAnsi="Calibri" w:cs="Calibri"/>
              </w:rPr>
              <w:t xml:space="preserve"> </w:t>
            </w:r>
          </w:p>
        </w:tc>
      </w:tr>
      <w:tr w:rsidR="002109B4">
        <w:trPr>
          <w:trHeight w:val="1138"/>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9" w:firstLine="0"/>
              <w:jc w:val="center"/>
            </w:pPr>
            <w:r>
              <w:t>Л2.2</w:t>
            </w:r>
            <w:r>
              <w:rPr>
                <w:rFonts w:ascii="Calibri" w:eastAsia="Calibri" w:hAnsi="Calibri" w:cs="Calibri"/>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Мантусова</w:t>
            </w:r>
            <w:proofErr w:type="spellEnd"/>
            <w:r>
              <w:t xml:space="preserve"> В. Б.</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Внешнеэкономическая деятельность: учебник: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Учебник</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https://biblioclub.ru/index.php? </w:t>
            </w:r>
          </w:p>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proofErr w:type="spellStart"/>
            <w:r>
              <w:t>page</w:t>
            </w:r>
            <w:proofErr w:type="spellEnd"/>
            <w:r>
              <w:t>=</w:t>
            </w:r>
            <w:proofErr w:type="spellStart"/>
            <w:r>
              <w:t>book&amp;id</w:t>
            </w:r>
            <w:proofErr w:type="spellEnd"/>
            <w:r>
              <w:t>=562350</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2" w:firstLine="0"/>
            </w:pPr>
            <w:r>
              <w:t xml:space="preserve">Москва : </w:t>
            </w:r>
            <w:proofErr w:type="spellStart"/>
            <w:r>
              <w:t>Юнити</w:t>
            </w:r>
            <w:proofErr w:type="spellEnd"/>
            <w:r>
              <w:t>-Дана, 2018</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vAlign w:val="center"/>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6" w:firstLine="0"/>
              <w:jc w:val="center"/>
            </w:pPr>
            <w:r>
              <w:t>ЭБС</w:t>
            </w:r>
            <w:r>
              <w:rPr>
                <w:rFonts w:ascii="Calibri" w:eastAsia="Calibri" w:hAnsi="Calibri" w:cs="Calibri"/>
              </w:rPr>
              <w:t xml:space="preserve"> </w:t>
            </w:r>
          </w:p>
        </w:tc>
      </w:tr>
      <w:tr w:rsidR="002109B4">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8" w:firstLine="0"/>
              <w:jc w:val="center"/>
            </w:pPr>
            <w:r>
              <w:rPr>
                <w:b/>
              </w:rPr>
              <w:t>6.1.3. Методические разработки</w:t>
            </w:r>
            <w:r>
              <w:rPr>
                <w:rFonts w:ascii="Calibri" w:eastAsia="Calibri" w:hAnsi="Calibri" w:cs="Calibri"/>
              </w:rPr>
              <w:t xml:space="preserve"> </w:t>
            </w:r>
          </w:p>
        </w:tc>
      </w:tr>
      <w:tr w:rsidR="002109B4">
        <w:trPr>
          <w:trHeight w:val="279"/>
        </w:trPr>
        <w:tc>
          <w:tcPr>
            <w:tcW w:w="69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896"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60" w:firstLine="0"/>
            </w:pPr>
            <w:r>
              <w:t>Авторы, составители</w:t>
            </w:r>
            <w:r>
              <w:rPr>
                <w:rFonts w:ascii="Calibri" w:eastAsia="Calibri" w:hAnsi="Calibri" w:cs="Calibri"/>
              </w:rPr>
              <w:t xml:space="preserve"> </w:t>
            </w:r>
          </w:p>
        </w:tc>
        <w:tc>
          <w:tcPr>
            <w:tcW w:w="4058"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28" w:firstLine="0"/>
              <w:jc w:val="center"/>
            </w:pPr>
            <w:r>
              <w:t>Заглавие</w:t>
            </w:r>
            <w:r>
              <w:rPr>
                <w:rFonts w:ascii="Calibri" w:eastAsia="Calibri" w:hAnsi="Calibri" w:cs="Calibri"/>
              </w:rPr>
              <w:t xml:space="preserve"> </w:t>
            </w:r>
          </w:p>
        </w:tc>
        <w:tc>
          <w:tcPr>
            <w:tcW w:w="2261"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40" w:firstLine="0"/>
              <w:jc w:val="center"/>
            </w:pPr>
            <w:r>
              <w:t>Издательство, год</w:t>
            </w:r>
            <w:r>
              <w:rPr>
                <w:rFonts w:ascii="Calibri" w:eastAsia="Calibri" w:hAnsi="Calibri" w:cs="Calibri"/>
              </w:rPr>
              <w:t xml:space="preserve"> </w:t>
            </w:r>
          </w:p>
        </w:tc>
        <w:tc>
          <w:tcPr>
            <w:tcW w:w="1357"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4" w:firstLine="0"/>
              <w:jc w:val="center"/>
            </w:pPr>
            <w:r>
              <w:t>Количество</w:t>
            </w:r>
            <w:r>
              <w:rPr>
                <w:rFonts w:ascii="Calibri" w:eastAsia="Calibri" w:hAnsi="Calibri" w:cs="Calibri"/>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right="1275"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2" w:type="dxa"/>
        <w:tblInd w:w="2" w:type="dxa"/>
        <w:tblCellMar>
          <w:top w:w="7" w:type="dxa"/>
        </w:tblCellMar>
        <w:tblLook w:val="04A0" w:firstRow="1" w:lastRow="0" w:firstColumn="1" w:lastColumn="0" w:noHBand="0" w:noVBand="1"/>
      </w:tblPr>
      <w:tblGrid>
        <w:gridCol w:w="752"/>
        <w:gridCol w:w="1839"/>
        <w:gridCol w:w="4092"/>
        <w:gridCol w:w="2280"/>
        <w:gridCol w:w="1309"/>
      </w:tblGrid>
      <w:tr w:rsidR="002109B4">
        <w:trPr>
          <w:trHeight w:val="27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48"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9"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7" w:firstLine="0"/>
              <w:jc w:val="center"/>
            </w:pPr>
            <w:r>
              <w:t>Количество</w:t>
            </w:r>
            <w:r>
              <w:rPr>
                <w:rFonts w:ascii="Calibri" w:eastAsia="Calibri" w:hAnsi="Calibri" w:cs="Calibri"/>
              </w:rPr>
              <w:t xml:space="preserve"> </w:t>
            </w:r>
          </w:p>
        </w:tc>
      </w:tr>
      <w:tr w:rsidR="002109B4">
        <w:trPr>
          <w:trHeight w:val="2017"/>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1" w:firstLine="0"/>
              <w:jc w:val="center"/>
            </w:pPr>
            <w:r>
              <w:t>Л3.1</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proofErr w:type="spellStart"/>
            <w:r>
              <w:t>Сапожникова,А.Г</w:t>
            </w:r>
            <w:proofErr w:type="spellEnd"/>
            <w:r>
              <w:t>.</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7" w:line="236" w:lineRule="auto"/>
              <w:ind w:left="34"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2109B4" w:rsidRPr="00A6171E" w:rsidRDefault="00A8387B">
            <w:pPr>
              <w:pBdr>
                <w:top w:val="none" w:sz="0" w:space="0" w:color="auto"/>
                <w:left w:val="none" w:sz="0" w:space="0" w:color="auto"/>
                <w:bottom w:val="none" w:sz="0" w:space="0" w:color="auto"/>
                <w:right w:val="none" w:sz="0" w:space="0" w:color="auto"/>
              </w:pBdr>
              <w:spacing w:after="0" w:line="259" w:lineRule="auto"/>
              <w:ind w:left="34" w:firstLine="0"/>
              <w:rPr>
                <w:lang w:val="en-US"/>
              </w:rPr>
            </w:pPr>
            <w:r>
              <w:t>методические</w:t>
            </w:r>
            <w:r w:rsidRPr="00A6171E">
              <w:rPr>
                <w:lang w:val="en-US"/>
              </w:rPr>
              <w:t xml:space="preserve"> </w:t>
            </w:r>
            <w:r>
              <w:t>указания</w:t>
            </w:r>
            <w:r w:rsidRPr="00A6171E">
              <w:rPr>
                <w:rFonts w:ascii="Calibri" w:eastAsia="Calibri" w:hAnsi="Calibri" w:cs="Calibri"/>
                <w:lang w:val="en-US"/>
              </w:rPr>
              <w:t xml:space="preserve"> </w:t>
            </w:r>
          </w:p>
          <w:p w:rsidR="002109B4" w:rsidRPr="00A6171E" w:rsidRDefault="00A8387B">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A6171E">
              <w:rPr>
                <w:rFonts w:ascii="Calibri" w:eastAsia="Calibri" w:hAnsi="Calibri" w:cs="Calibri"/>
                <w:lang w:val="en-US"/>
              </w:rPr>
              <w:t xml:space="preserve"> </w:t>
            </w:r>
          </w:p>
          <w:p w:rsidR="002109B4" w:rsidRPr="00A6171E" w:rsidRDefault="00A8387B">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A6171E">
              <w:rPr>
                <w:lang w:val="en-US"/>
              </w:rPr>
              <w:t xml:space="preserve">https://ntb.donstu.ru/content/rukovodstvo-dlya- </w:t>
            </w:r>
            <w:proofErr w:type="spellStart"/>
            <w:r w:rsidRPr="00A6171E">
              <w:rPr>
                <w:lang w:val="en-US"/>
              </w:rPr>
              <w:t>prepodavateley-po-organizacii-i-planirovaniyu</w:t>
            </w:r>
            <w:proofErr w:type="spellEnd"/>
            <w:r w:rsidRPr="00A6171E">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34" w:firstLine="0"/>
            </w:pPr>
            <w:r>
              <w:t>Ростов-на-</w:t>
            </w:r>
            <w:proofErr w:type="spellStart"/>
            <w:r>
              <w:t>Дону,ДГТУ</w:t>
            </w:r>
            <w:proofErr w:type="spellEnd"/>
            <w:r>
              <w:t>, 2018</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2109B4" w:rsidRDefault="00A8387B">
            <w:pPr>
              <w:pBdr>
                <w:top w:val="none" w:sz="0" w:space="0" w:color="auto"/>
                <w:left w:val="none" w:sz="0" w:space="0" w:color="auto"/>
                <w:bottom w:val="none" w:sz="0" w:space="0" w:color="auto"/>
                <w:right w:val="none" w:sz="0" w:space="0" w:color="auto"/>
              </w:pBdr>
              <w:spacing w:after="0" w:line="259" w:lineRule="auto"/>
              <w:ind w:left="16" w:firstLine="0"/>
              <w:jc w:val="center"/>
            </w:pPr>
            <w:r>
              <w:t>ЭБС</w:t>
            </w:r>
            <w:r>
              <w:rPr>
                <w:rFonts w:ascii="Calibri" w:eastAsia="Calibri" w:hAnsi="Calibri" w:cs="Calibri"/>
              </w:rPr>
              <w:t xml:space="preserve"> </w:t>
            </w:r>
          </w:p>
        </w:tc>
      </w:tr>
      <w:tr w:rsidR="002109B4">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3" w:firstLine="0"/>
              <w:jc w:val="center"/>
            </w:pPr>
            <w:r>
              <w:rPr>
                <w:b/>
              </w:rPr>
              <w:t>6.2. Перечень ресурсов информационно-телекоммуникационной сети "Интернет"</w:t>
            </w:r>
            <w:r>
              <w:rPr>
                <w:rFonts w:ascii="Calibri" w:eastAsia="Calibri" w:hAnsi="Calibri" w:cs="Calibri"/>
              </w:rPr>
              <w:t xml:space="preserve"> </w:t>
            </w:r>
          </w:p>
        </w:tc>
      </w:tr>
      <w:tr w:rsidR="002109B4">
        <w:trPr>
          <w:trHeight w:val="27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6" w:firstLine="0"/>
              <w:jc w:val="center"/>
            </w:pPr>
            <w:r>
              <w:t>Э1</w:t>
            </w:r>
            <w:r>
              <w:rPr>
                <w:rFonts w:ascii="Calibri" w:eastAsia="Calibri" w:hAnsi="Calibri" w:cs="Calibri"/>
              </w:rPr>
              <w:t xml:space="preserve"> </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t>консультант +, consultant.ru</w:t>
            </w:r>
            <w:r>
              <w:rPr>
                <w:rFonts w:ascii="Calibri" w:eastAsia="Calibri" w:hAnsi="Calibri" w:cs="Calibri"/>
              </w:rPr>
              <w:t xml:space="preserve"> </w:t>
            </w:r>
          </w:p>
        </w:tc>
      </w:tr>
      <w:tr w:rsidR="002109B4">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4" w:firstLine="0"/>
              <w:jc w:val="center"/>
            </w:pPr>
            <w:r>
              <w:rPr>
                <w:b/>
              </w:rPr>
              <w:t>6.3.1 Перечень программного обеспечения</w:t>
            </w:r>
            <w:r>
              <w:rPr>
                <w:rFonts w:ascii="Calibri" w:eastAsia="Calibri" w:hAnsi="Calibri" w:cs="Calibri"/>
              </w:rPr>
              <w:t xml:space="preserve"> </w:t>
            </w:r>
          </w:p>
        </w:tc>
      </w:tr>
      <w:tr w:rsidR="006E6604"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6E6604" w:rsidRDefault="006E6604" w:rsidP="00825CB2">
            <w:pPr>
              <w:jc w:val="right"/>
            </w:pPr>
            <w:r>
              <w:t>6.3.1.1</w:t>
            </w:r>
          </w:p>
        </w:tc>
        <w:tc>
          <w:tcPr>
            <w:tcW w:w="9520" w:type="dxa"/>
            <w:gridSpan w:val="4"/>
            <w:tcBorders>
              <w:top w:val="single" w:sz="8" w:space="0" w:color="000000"/>
              <w:left w:val="single" w:sz="8" w:space="0" w:color="000000"/>
              <w:bottom w:val="single" w:sz="8" w:space="0" w:color="000000"/>
              <w:right w:val="single" w:sz="8" w:space="0" w:color="000000"/>
            </w:tcBorders>
          </w:tcPr>
          <w:p w:rsidR="006E6604" w:rsidRPr="00B8035F" w:rsidRDefault="006E6604" w:rsidP="00825CB2">
            <w:pPr>
              <w:ind w:left="-5"/>
            </w:pPr>
            <w:r w:rsidRPr="00B8035F">
              <w:t xml:space="preserve"> ОС </w:t>
            </w:r>
            <w:proofErr w:type="spellStart"/>
            <w:r w:rsidRPr="00B8035F">
              <w:t>Microsoft</w:t>
            </w:r>
            <w:proofErr w:type="spellEnd"/>
            <w:r w:rsidRPr="00B8035F">
              <w:t xml:space="preserve"> </w:t>
            </w:r>
            <w:proofErr w:type="spellStart"/>
            <w:r w:rsidRPr="00B8035F">
              <w:t>Windows</w:t>
            </w:r>
            <w:proofErr w:type="spellEnd"/>
          </w:p>
        </w:tc>
      </w:tr>
      <w:tr w:rsidR="006E6604"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6E6604" w:rsidRDefault="006E6604" w:rsidP="00825CB2">
            <w:pPr>
              <w:jc w:val="right"/>
            </w:pPr>
            <w:r>
              <w:t>6.3.1.2</w:t>
            </w:r>
          </w:p>
        </w:tc>
        <w:tc>
          <w:tcPr>
            <w:tcW w:w="9520" w:type="dxa"/>
            <w:gridSpan w:val="4"/>
            <w:tcBorders>
              <w:top w:val="single" w:sz="8" w:space="0" w:color="000000"/>
              <w:left w:val="single" w:sz="8" w:space="0" w:color="000000"/>
              <w:bottom w:val="single" w:sz="8" w:space="0" w:color="000000"/>
              <w:right w:val="single" w:sz="8" w:space="0" w:color="000000"/>
            </w:tcBorders>
          </w:tcPr>
          <w:p w:rsidR="006E6604" w:rsidRPr="00B8035F" w:rsidRDefault="006E6604" w:rsidP="00825CB2">
            <w:pPr>
              <w:ind w:left="-5"/>
            </w:pPr>
            <w:proofErr w:type="spellStart"/>
            <w:r w:rsidRPr="00B8035F">
              <w:t>Microsoft</w:t>
            </w:r>
            <w:proofErr w:type="spellEnd"/>
            <w:r w:rsidRPr="00B8035F">
              <w:t xml:space="preserve"> </w:t>
            </w:r>
            <w:proofErr w:type="spellStart"/>
            <w:r w:rsidRPr="00B8035F">
              <w:t>Office</w:t>
            </w:r>
            <w:proofErr w:type="spellEnd"/>
          </w:p>
        </w:tc>
      </w:tr>
      <w:tr w:rsidR="006E6604"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6E6604" w:rsidRDefault="006E6604" w:rsidP="00825CB2">
            <w:pPr>
              <w:jc w:val="right"/>
            </w:pPr>
            <w:r>
              <w:t>6.3.1.3</w:t>
            </w:r>
          </w:p>
        </w:tc>
        <w:tc>
          <w:tcPr>
            <w:tcW w:w="9520" w:type="dxa"/>
            <w:gridSpan w:val="4"/>
            <w:tcBorders>
              <w:top w:val="single" w:sz="8" w:space="0" w:color="000000"/>
              <w:left w:val="single" w:sz="8" w:space="0" w:color="000000"/>
              <w:bottom w:val="single" w:sz="8" w:space="0" w:color="000000"/>
              <w:right w:val="single" w:sz="8" w:space="0" w:color="000000"/>
            </w:tcBorders>
          </w:tcPr>
          <w:p w:rsidR="006E6604" w:rsidRPr="00B8035F" w:rsidRDefault="006E6604" w:rsidP="00825CB2">
            <w:pPr>
              <w:ind w:left="-5"/>
            </w:pPr>
            <w:r w:rsidRPr="00B8035F">
              <w:t xml:space="preserve"> </w:t>
            </w:r>
            <w:proofErr w:type="spellStart"/>
            <w:r w:rsidRPr="00B8035F">
              <w:t>Sumatra</w:t>
            </w:r>
            <w:proofErr w:type="spellEnd"/>
            <w:r w:rsidRPr="00B8035F">
              <w:t xml:space="preserve"> PDF</w:t>
            </w:r>
          </w:p>
        </w:tc>
      </w:tr>
      <w:tr w:rsidR="006E6604"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6E6604" w:rsidRDefault="006E6604" w:rsidP="00825CB2">
            <w:pPr>
              <w:jc w:val="right"/>
            </w:pPr>
            <w:r>
              <w:t>6.3.1.4</w:t>
            </w:r>
          </w:p>
        </w:tc>
        <w:tc>
          <w:tcPr>
            <w:tcW w:w="9520" w:type="dxa"/>
            <w:gridSpan w:val="4"/>
            <w:tcBorders>
              <w:top w:val="single" w:sz="8" w:space="0" w:color="000000"/>
              <w:left w:val="single" w:sz="8" w:space="0" w:color="000000"/>
              <w:bottom w:val="single" w:sz="8" w:space="0" w:color="000000"/>
              <w:right w:val="single" w:sz="8" w:space="0" w:color="000000"/>
            </w:tcBorders>
          </w:tcPr>
          <w:p w:rsidR="006E6604" w:rsidRPr="00B8035F" w:rsidRDefault="006E6604" w:rsidP="00825CB2">
            <w:pPr>
              <w:ind w:left="-5"/>
            </w:pPr>
            <w:r w:rsidRPr="00B8035F">
              <w:t>7-Zip</w:t>
            </w:r>
          </w:p>
        </w:tc>
      </w:tr>
      <w:tr w:rsidR="002109B4">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 w:firstLine="0"/>
              <w:jc w:val="center"/>
            </w:pPr>
            <w:r>
              <w:rPr>
                <w:b/>
              </w:rPr>
              <w:t>6.3.2 Перечень информационных справочных систем</w:t>
            </w:r>
            <w:r>
              <w:rPr>
                <w:rFonts w:ascii="Calibri" w:eastAsia="Calibri" w:hAnsi="Calibri" w:cs="Calibri"/>
              </w:rPr>
              <w:t xml:space="preserve"> </w:t>
            </w:r>
          </w:p>
        </w:tc>
      </w:tr>
      <w:tr w:rsidR="002109B4">
        <w:trPr>
          <w:trHeight w:val="28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lastRenderedPageBreak/>
              <w:t>6.3.2.1</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http://www.consultant.ru/ - СПС "Консультант Плюс"</w:t>
            </w:r>
            <w:r>
              <w:rPr>
                <w:rFonts w:ascii="Calibri" w:eastAsia="Calibri" w:hAnsi="Calibri" w:cs="Calibri"/>
              </w:rPr>
              <w:t xml:space="preserve"> </w:t>
            </w:r>
          </w:p>
        </w:tc>
      </w:tr>
      <w:tr w:rsidR="002109B4">
        <w:trPr>
          <w:trHeight w:val="28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6.3.2.2</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http://e.lanbook.com - ЭБС «Лань»</w:t>
            </w:r>
            <w:r>
              <w:rPr>
                <w:rFonts w:ascii="Calibri" w:eastAsia="Calibri" w:hAnsi="Calibri" w:cs="Calibri"/>
              </w:rPr>
              <w:t xml:space="preserve"> </w:t>
            </w:r>
          </w:p>
        </w:tc>
      </w:tr>
      <w:tr w:rsidR="002109B4">
        <w:trPr>
          <w:trHeight w:val="28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6.3.2.3</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p>
        </w:tc>
      </w:tr>
      <w:tr w:rsidR="002109B4">
        <w:trPr>
          <w:trHeight w:val="28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6.3.2.4</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www.znanium.com - ЭБС «ZNANIUM.COM»</w:t>
            </w:r>
            <w:r>
              <w:rPr>
                <w:rFonts w:ascii="Calibri" w:eastAsia="Calibri" w:hAnsi="Calibri" w:cs="Calibri"/>
              </w:rPr>
              <w:t xml:space="preserve"> </w:t>
            </w:r>
          </w:p>
        </w:tc>
      </w:tr>
      <w:tr w:rsidR="002109B4">
        <w:trPr>
          <w:trHeight w:val="283"/>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6.3.2.5</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http://ntb.donstu.ru/ - Электронно-библиотечная система НТБ ДГТУ</w:t>
            </w:r>
            <w:r>
              <w:rPr>
                <w:rFonts w:ascii="Calibri" w:eastAsia="Calibri" w:hAnsi="Calibri" w:cs="Calibri"/>
              </w:rPr>
              <w:t xml:space="preserve"> </w:t>
            </w:r>
          </w:p>
        </w:tc>
      </w:tr>
      <w:tr w:rsidR="002109B4">
        <w:trPr>
          <w:trHeight w:val="284"/>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6.3.2.6</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http://elibrary.ru/ - Научная электронная библиотека eLIBRARY.RU</w:t>
            </w:r>
            <w:r>
              <w:rPr>
                <w:rFonts w:ascii="Calibri" w:eastAsia="Calibri" w:hAnsi="Calibri" w:cs="Calibri"/>
              </w:rPr>
              <w:t xml:space="preserve"> </w:t>
            </w:r>
          </w:p>
        </w:tc>
      </w:tr>
      <w:tr w:rsidR="002109B4">
        <w:trPr>
          <w:trHeight w:val="271"/>
        </w:trPr>
        <w:tc>
          <w:tcPr>
            <w:tcW w:w="10272" w:type="dxa"/>
            <w:gridSpan w:val="5"/>
            <w:tcBorders>
              <w:top w:val="single" w:sz="8" w:space="0" w:color="000000"/>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7"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2109B4">
        <w:trPr>
          <w:trHeight w:val="698"/>
        </w:trPr>
        <w:tc>
          <w:tcPr>
            <w:tcW w:w="10272" w:type="dxa"/>
            <w:gridSpan w:val="5"/>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31"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2109B4">
        <w:trPr>
          <w:trHeight w:val="28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7.1</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Учебная аудитория</w:t>
            </w:r>
            <w:r>
              <w:rPr>
                <w:rFonts w:ascii="Calibri" w:eastAsia="Calibri" w:hAnsi="Calibri" w:cs="Calibri"/>
              </w:rPr>
              <w:t xml:space="preserve"> </w:t>
            </w:r>
          </w:p>
        </w:tc>
      </w:tr>
      <w:tr w:rsidR="002109B4">
        <w:trPr>
          <w:trHeight w:val="284"/>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7.2</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 xml:space="preserve">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2109B4">
        <w:trPr>
          <w:trHeight w:val="288"/>
        </w:trPr>
        <w:tc>
          <w:tcPr>
            <w:tcW w:w="75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right"/>
            </w:pPr>
            <w:r>
              <w:t>7.3</w:t>
            </w:r>
          </w:p>
        </w:tc>
        <w:tc>
          <w:tcPr>
            <w:tcW w:w="9520" w:type="dxa"/>
            <w:gridSpan w:val="4"/>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Технические средства обучения (проектор, ноутбук , экран), учебные наглядные пособия</w:t>
            </w:r>
            <w:r>
              <w:rPr>
                <w:rFonts w:ascii="Calibri" w:eastAsia="Calibri" w:hAnsi="Calibri" w:cs="Calibri"/>
              </w:rPr>
              <w:t xml:space="preserve"> </w:t>
            </w:r>
          </w:p>
        </w:tc>
      </w:tr>
    </w:tbl>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47" w:type="dxa"/>
          <w:left w:w="31" w:type="dxa"/>
        </w:tblCellMar>
        <w:tblLook w:val="04A0" w:firstRow="1" w:lastRow="0" w:firstColumn="1" w:lastColumn="0" w:noHBand="0" w:noVBand="1"/>
      </w:tblPr>
      <w:tblGrid>
        <w:gridCol w:w="10272"/>
      </w:tblGrid>
      <w:tr w:rsidR="002109B4">
        <w:trPr>
          <w:trHeight w:val="274"/>
        </w:trPr>
        <w:tc>
          <w:tcPr>
            <w:tcW w:w="10272" w:type="dxa"/>
            <w:tcBorders>
              <w:top w:val="nil"/>
              <w:left w:val="single" w:sz="8" w:space="0" w:color="000000"/>
              <w:bottom w:val="single" w:sz="8" w:space="0" w:color="000000"/>
              <w:right w:val="single" w:sz="8" w:space="0" w:color="000000"/>
            </w:tcBorders>
            <w:shd w:val="clear" w:color="auto" w:fill="D3D3D3"/>
          </w:tcPr>
          <w:p w:rsidR="002109B4" w:rsidRDefault="00A8387B">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2109B4">
        <w:trPr>
          <w:trHeight w:val="7464"/>
        </w:trPr>
        <w:tc>
          <w:tcPr>
            <w:tcW w:w="10272" w:type="dxa"/>
            <w:tcBorders>
              <w:top w:val="single" w:sz="8" w:space="0" w:color="000000"/>
              <w:left w:val="single" w:sz="8" w:space="0" w:color="000000"/>
              <w:bottom w:val="single" w:sz="8" w:space="0" w:color="000000"/>
              <w:right w:val="single" w:sz="8" w:space="0" w:color="000000"/>
            </w:tcBorders>
          </w:tcPr>
          <w:p w:rsidR="002109B4" w:rsidRDefault="00A8387B">
            <w:pPr>
              <w:pBdr>
                <w:top w:val="none" w:sz="0" w:space="0" w:color="auto"/>
                <w:left w:val="none" w:sz="0" w:space="0" w:color="auto"/>
                <w:bottom w:val="none" w:sz="0" w:space="0" w:color="auto"/>
                <w:right w:val="none" w:sz="0" w:space="0" w:color="auto"/>
              </w:pBdr>
              <w:spacing w:after="24" w:line="245" w:lineRule="auto"/>
              <w:ind w:left="0" w:firstLine="0"/>
            </w:pPr>
            <w:r>
              <w:t>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представление самостоятельно подготовленных докладов/эссе по предложенным или самостоятельно выбранным темам.</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36" w:line="238" w:lineRule="auto"/>
              <w:ind w:left="0" w:firstLine="0"/>
            </w:pPr>
            <w: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rFonts w:ascii="Calibri" w:eastAsia="Calibri" w:hAnsi="Calibri" w:cs="Calibri"/>
              </w:rPr>
              <w:t xml:space="preserve"> </w:t>
            </w:r>
            <w:r>
              <w:t>Изучение каждой темы дисциплины «Модернизация правового регулирования международных расчетов по трансграничным (внешнеэкономическим) сделкам и контрактам», вынесенной на практическое занятие, рекомендуется осуществлять в следующей последовательности:</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72" w:lineRule="auto"/>
              <w:ind w:left="149" w:right="3661" w:firstLine="0"/>
            </w:pPr>
            <w:r>
              <w:rPr>
                <w:noProof/>
              </w:rPr>
              <w:drawing>
                <wp:anchor distT="0" distB="0" distL="114300" distR="114300" simplePos="0" relativeHeight="251660288" behindDoc="1" locked="0" layoutInCell="1" allowOverlap="0">
                  <wp:simplePos x="0" y="0"/>
                  <wp:positionH relativeFrom="column">
                    <wp:posOffset>19812</wp:posOffset>
                  </wp:positionH>
                  <wp:positionV relativeFrom="paragraph">
                    <wp:posOffset>-24965</wp:posOffset>
                  </wp:positionV>
                  <wp:extent cx="188976" cy="134112"/>
                  <wp:effectExtent l="0" t="0" r="0" b="0"/>
                  <wp:wrapNone/>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8"/>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1312" behindDoc="1" locked="0" layoutInCell="1" allowOverlap="0">
                  <wp:simplePos x="0" y="0"/>
                  <wp:positionH relativeFrom="column">
                    <wp:posOffset>19812</wp:posOffset>
                  </wp:positionH>
                  <wp:positionV relativeFrom="paragraph">
                    <wp:posOffset>112193</wp:posOffset>
                  </wp:positionV>
                  <wp:extent cx="188976" cy="134112"/>
                  <wp:effectExtent l="0" t="0" r="0" b="0"/>
                  <wp:wrapNone/>
                  <wp:docPr id="3673" name="Picture 3673"/>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18"/>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2336" behindDoc="1" locked="0" layoutInCell="1" allowOverlap="0">
                  <wp:simplePos x="0" y="0"/>
                  <wp:positionH relativeFrom="column">
                    <wp:posOffset>19812</wp:posOffset>
                  </wp:positionH>
                  <wp:positionV relativeFrom="paragraph">
                    <wp:posOffset>252783</wp:posOffset>
                  </wp:positionV>
                  <wp:extent cx="188976" cy="134112"/>
                  <wp:effectExtent l="0" t="0" r="0" b="0"/>
                  <wp:wrapNone/>
                  <wp:docPr id="3679" name="Picture 3679"/>
                  <wp:cNvGraphicFramePr/>
                  <a:graphic xmlns:a="http://schemas.openxmlformats.org/drawingml/2006/main">
                    <a:graphicData uri="http://schemas.openxmlformats.org/drawingml/2006/picture">
                      <pic:pic xmlns:pic="http://schemas.openxmlformats.org/drawingml/2006/picture">
                        <pic:nvPicPr>
                          <pic:cNvPr id="3679" name="Picture 3679"/>
                          <pic:cNvPicPr/>
                        </pic:nvPicPr>
                        <pic:blipFill>
                          <a:blip r:embed="rId18"/>
                          <a:stretch>
                            <a:fillRect/>
                          </a:stretch>
                        </pic:blipFill>
                        <pic:spPr>
                          <a:xfrm>
                            <a:off x="0" y="0"/>
                            <a:ext cx="188976" cy="134112"/>
                          </a:xfrm>
                          <a:prstGeom prst="rect">
                            <a:avLst/>
                          </a:prstGeom>
                        </pic:spPr>
                      </pic:pic>
                    </a:graphicData>
                  </a:graphic>
                </wp:anchor>
              </w:drawing>
            </w:r>
            <w:r>
              <w:t xml:space="preserve"> ознакомиться с лекцией (посещение лекционного занятия, чтение конспекта</w:t>
            </w:r>
            <w:proofErr w:type="gramStart"/>
            <w:r>
              <w:t>);</w:t>
            </w:r>
            <w:r>
              <w:rPr>
                <w:rFonts w:ascii="Calibri" w:eastAsia="Calibri" w:hAnsi="Calibri" w:cs="Calibri"/>
              </w:rPr>
              <w:t xml:space="preserve"> </w:t>
            </w:r>
            <w:r>
              <w:t xml:space="preserve"> прочитать</w:t>
            </w:r>
            <w:proofErr w:type="gramEnd"/>
            <w:r>
              <w:t xml:space="preserve"> соответствующий раздел в учебнике или учебном пособии;</w:t>
            </w:r>
            <w:r>
              <w:rPr>
                <w:rFonts w:ascii="Calibri" w:eastAsia="Calibri" w:hAnsi="Calibri" w:cs="Calibri"/>
              </w:rPr>
              <w:t xml:space="preserve"> </w:t>
            </w:r>
            <w:r>
              <w:t xml:space="preserve"> изучить соответствующую данной теме главу в нормативно-правовых актах;</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90" w:lineRule="auto"/>
              <w:ind w:left="149" w:right="135" w:firstLine="0"/>
            </w:pPr>
            <w:r>
              <w:rPr>
                <w:noProof/>
              </w:rPr>
              <w:drawing>
                <wp:anchor distT="0" distB="0" distL="114300" distR="114300" simplePos="0" relativeHeight="251663360" behindDoc="1" locked="0" layoutInCell="1" allowOverlap="0">
                  <wp:simplePos x="0" y="0"/>
                  <wp:positionH relativeFrom="column">
                    <wp:posOffset>19812</wp:posOffset>
                  </wp:positionH>
                  <wp:positionV relativeFrom="paragraph">
                    <wp:posOffset>-25039</wp:posOffset>
                  </wp:positionV>
                  <wp:extent cx="188976" cy="134112"/>
                  <wp:effectExtent l="0" t="0" r="0" b="0"/>
                  <wp:wrapNone/>
                  <wp:docPr id="3687" name="Picture 3687"/>
                  <wp:cNvGraphicFramePr/>
                  <a:graphic xmlns:a="http://schemas.openxmlformats.org/drawingml/2006/main">
                    <a:graphicData uri="http://schemas.openxmlformats.org/drawingml/2006/picture">
                      <pic:pic xmlns:pic="http://schemas.openxmlformats.org/drawingml/2006/picture">
                        <pic:nvPicPr>
                          <pic:cNvPr id="3687" name="Picture 3687"/>
                          <pic:cNvPicPr/>
                        </pic:nvPicPr>
                        <pic:blipFill>
                          <a:blip r:embed="rId18"/>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4384" behindDoc="1" locked="0" layoutInCell="1" allowOverlap="0">
                  <wp:simplePos x="0" y="0"/>
                  <wp:positionH relativeFrom="column">
                    <wp:posOffset>19812</wp:posOffset>
                  </wp:positionH>
                  <wp:positionV relativeFrom="paragraph">
                    <wp:posOffset>115167</wp:posOffset>
                  </wp:positionV>
                  <wp:extent cx="188976" cy="134112"/>
                  <wp:effectExtent l="0" t="0" r="0" b="0"/>
                  <wp:wrapNone/>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8"/>
                          <a:stretch>
                            <a:fillRect/>
                          </a:stretch>
                        </pic:blipFill>
                        <pic:spPr>
                          <a:xfrm>
                            <a:off x="0" y="0"/>
                            <a:ext cx="188976" cy="134112"/>
                          </a:xfrm>
                          <a:prstGeom prst="rect">
                            <a:avLst/>
                          </a:prstGeom>
                        </pic:spPr>
                      </pic:pic>
                    </a:graphicData>
                  </a:graphic>
                </wp:anchor>
              </w:drawing>
            </w:r>
            <w:r>
              <w:t xml:space="preserve"> ознакомиться с рекомендованной по данной теме научной литературой, а также с материалами судебной </w:t>
            </w:r>
            <w:proofErr w:type="gramStart"/>
            <w:r>
              <w:t>практики;</w:t>
            </w:r>
            <w:r>
              <w:rPr>
                <w:rFonts w:ascii="Calibri" w:eastAsia="Calibri" w:hAnsi="Calibri" w:cs="Calibri"/>
              </w:rPr>
              <w:t xml:space="preserve"> </w:t>
            </w:r>
            <w:r>
              <w:t xml:space="preserve"> найти</w:t>
            </w:r>
            <w:proofErr w:type="gramEnd"/>
            <w:r>
              <w:t xml:space="preserve"> и по возможности выписать из прочтенной литературы основные дефиниции по вопросам практического занятия, </w:t>
            </w:r>
          </w:p>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pPr>
            <w:r>
              <w:t>подобрать из прочитанной литературы примеры, иллюстрирующие главные положения рассматриваемой темы.</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5" w:lineRule="auto"/>
              <w:ind w:left="0" w:right="36" w:firstLine="0"/>
              <w:jc w:val="both"/>
            </w:pPr>
            <w:r>
              <w:t>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а с другой – излагаются новые соображения, выдвинутые практикой, сообщаются сведения об изменениях в законодательстве и т.п.</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8" w:lineRule="auto"/>
              <w:ind w:left="0" w:firstLine="0"/>
            </w:pPr>
            <w: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37" w:lineRule="auto"/>
              <w:ind w:left="0" w:firstLine="0"/>
              <w:jc w:val="both"/>
            </w:pPr>
            <w:r>
              <w:t>Изучение специальной литературы целесообразно начинать с чтения учебника и учебного пособия. После их изучения легче понимаются рекомендованные монографии, журнальные статьи.</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line="244" w:lineRule="auto"/>
              <w:ind w:left="0" w:right="42" w:firstLine="0"/>
            </w:pPr>
            <w: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 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rFonts w:ascii="Calibri" w:eastAsia="Calibri" w:hAnsi="Calibri" w:cs="Calibri"/>
              </w:rPr>
              <w:t xml:space="preserve"> </w:t>
            </w:r>
            <w:r>
              <w:t xml:space="preserve">Изучение рекомендованной нормативной и правоприменительной литературы лучше всего осуществлять в справочно- поисковых системах, таких как «Консультант Плюс», «Кодекс», находящихся в свободном доступе и др. Данная </w:t>
            </w:r>
          </w:p>
          <w:p w:rsidR="002109B4" w:rsidRDefault="00A8387B">
            <w:pPr>
              <w:pBdr>
                <w:top w:val="none" w:sz="0" w:space="0" w:color="auto"/>
                <w:left w:val="none" w:sz="0" w:space="0" w:color="auto"/>
                <w:bottom w:val="none" w:sz="0" w:space="0" w:color="auto"/>
                <w:right w:val="none" w:sz="0" w:space="0" w:color="auto"/>
              </w:pBdr>
              <w:spacing w:after="0" w:line="259" w:lineRule="auto"/>
              <w:ind w:left="0" w:firstLine="0"/>
              <w:jc w:val="both"/>
            </w:pPr>
            <w:r>
              <w:t>рекомендация обусловлена тем, что только в электронной базе документы приводятся в актуальном состоянии, т.е. с учетом</w:t>
            </w:r>
            <w:r>
              <w:rPr>
                <w:rFonts w:ascii="Calibri" w:eastAsia="Calibri" w:hAnsi="Calibri" w:cs="Calibri"/>
              </w:rPr>
              <w:t xml:space="preserve"> </w:t>
            </w:r>
          </w:p>
        </w:tc>
      </w:tr>
    </w:tbl>
    <w:p w:rsidR="002109B4" w:rsidRDefault="00A8387B">
      <w:pPr>
        <w:ind w:left="29" w:right="48"/>
      </w:pPr>
      <w:r>
        <w:t>всех внесенных в них изменений и дополнений.</w:t>
      </w:r>
      <w:r>
        <w:rPr>
          <w:rFonts w:ascii="Calibri" w:eastAsia="Calibri" w:hAnsi="Calibri" w:cs="Calibri"/>
        </w:rPr>
        <w:t xml:space="preserve"> </w:t>
      </w:r>
    </w:p>
    <w:p w:rsidR="002109B4" w:rsidRDefault="00A8387B">
      <w:pPr>
        <w:ind w:left="29" w:right="48"/>
      </w:pPr>
      <w:r>
        <w:t>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этом выделять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rFonts w:ascii="Calibri" w:eastAsia="Calibri" w:hAnsi="Calibri" w:cs="Calibri"/>
        </w:rPr>
        <w:t xml:space="preserve"> </w:t>
      </w:r>
    </w:p>
    <w:p w:rsidR="002109B4" w:rsidRDefault="00A8387B">
      <w:pPr>
        <w:spacing w:after="77"/>
        <w:ind w:left="29" w:right="48"/>
      </w:pPr>
      <w: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практических занятиях. Активное участие в работе практического занятия является необходимым условием для получения студентом положительной оценки за весь пройденный общий курс.</w:t>
      </w:r>
      <w:r>
        <w:rPr>
          <w:rFonts w:ascii="Calibri" w:eastAsia="Calibri" w:hAnsi="Calibri" w:cs="Calibri"/>
        </w:rPr>
        <w:t xml:space="preserve"> </w:t>
      </w:r>
      <w:r>
        <w:t>Также рекомендуется использовать инновационные формы подготовки к практическим занятиям, в том числе использование средств мультимедийной техники, подготовку электронных презентаций.</w:t>
      </w:r>
      <w:r>
        <w:rPr>
          <w:rFonts w:ascii="Calibri" w:eastAsia="Calibri" w:hAnsi="Calibri" w:cs="Calibri"/>
        </w:rPr>
        <w:t xml:space="preserve"> </w:t>
      </w:r>
    </w:p>
    <w:p w:rsidR="002109B4" w:rsidRDefault="00A8387B">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sz w:val="22"/>
        </w:rPr>
        <w:t xml:space="preserve"> </w:t>
      </w:r>
    </w:p>
    <w:sectPr w:rsidR="002109B4">
      <w:headerReference w:type="even" r:id="rId19"/>
      <w:headerReference w:type="default" r:id="rId20"/>
      <w:headerReference w:type="first" r:id="rId21"/>
      <w:pgSz w:w="11909" w:h="16838"/>
      <w:pgMar w:top="612" w:right="519" w:bottom="797" w:left="1100" w:header="569"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532" w:rsidRDefault="005B4532">
      <w:pPr>
        <w:spacing w:after="0" w:line="240" w:lineRule="auto"/>
      </w:pPr>
      <w:r>
        <w:separator/>
      </w:r>
    </w:p>
  </w:endnote>
  <w:endnote w:type="continuationSeparator" w:id="0">
    <w:p w:rsidR="005B4532" w:rsidRDefault="005B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532" w:rsidRDefault="005B4532">
      <w:pPr>
        <w:spacing w:after="0" w:line="240" w:lineRule="auto"/>
      </w:pPr>
      <w:r>
        <w:separator/>
      </w:r>
    </w:p>
  </w:footnote>
  <w:footnote w:type="continuationSeparator" w:id="0">
    <w:p w:rsidR="005B4532" w:rsidRDefault="005B4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2109B4">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2109B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2109B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2109B4">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2109B4">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2109B4">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A8387B">
    <w:pPr>
      <w:pBdr>
        <w:top w:val="none" w:sz="0" w:space="0" w:color="auto"/>
        <w:left w:val="none" w:sz="0" w:space="0" w:color="auto"/>
        <w:bottom w:val="none" w:sz="0" w:space="0" w:color="auto"/>
        <w:right w:val="none" w:sz="0" w:space="0" w:color="auto"/>
      </w:pBdr>
      <w:tabs>
        <w:tab w:val="right" w:pos="10290"/>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6E6604" w:rsidRPr="006E6604">
      <w:rPr>
        <w:noProof/>
        <w:color w:val="C0C0C0"/>
        <w:sz w:val="16"/>
      </w:rPr>
      <w:t>10</w:t>
    </w:r>
    <w:r>
      <w:rPr>
        <w:color w:val="C0C0C0"/>
        <w:sz w:val="16"/>
      </w:rPr>
      <w:fldChar w:fldCharType="end"/>
    </w:r>
    <w:r>
      <w:rPr>
        <w:rFonts w:ascii="Calibri" w:eastAsia="Calibri" w:hAnsi="Calibri" w:cs="Calibri"/>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A8387B">
    <w:pPr>
      <w:pBdr>
        <w:top w:val="none" w:sz="0" w:space="0" w:color="auto"/>
        <w:left w:val="none" w:sz="0" w:space="0" w:color="auto"/>
        <w:bottom w:val="none" w:sz="0" w:space="0" w:color="auto"/>
        <w:right w:val="none" w:sz="0" w:space="0" w:color="auto"/>
      </w:pBdr>
      <w:tabs>
        <w:tab w:val="center" w:pos="4548"/>
        <w:tab w:val="right" w:pos="10290"/>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6E6604" w:rsidRPr="006E6604">
      <w:rPr>
        <w:noProof/>
        <w:color w:val="C0C0C0"/>
        <w:sz w:val="16"/>
      </w:rPr>
      <w:t>9</w:t>
    </w:r>
    <w:r>
      <w:rPr>
        <w:color w:val="C0C0C0"/>
        <w:sz w:val="16"/>
      </w:rPr>
      <w:fldChar w:fldCharType="end"/>
    </w:r>
    <w:r>
      <w:rPr>
        <w:rFonts w:ascii="Calibri" w:eastAsia="Calibri" w:hAnsi="Calibri" w:cs="Calibri"/>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9B4" w:rsidRDefault="00A8387B">
    <w:pPr>
      <w:pBdr>
        <w:top w:val="none" w:sz="0" w:space="0" w:color="auto"/>
        <w:left w:val="none" w:sz="0" w:space="0" w:color="auto"/>
        <w:bottom w:val="none" w:sz="0" w:space="0" w:color="auto"/>
        <w:right w:val="none" w:sz="0" w:space="0" w:color="auto"/>
      </w:pBdr>
      <w:tabs>
        <w:tab w:val="right" w:pos="10290"/>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Pr>
        <w:color w:val="C0C0C0"/>
        <w:sz w:val="16"/>
      </w:rPr>
      <w:t>4</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77BFA"/>
    <w:multiLevelType w:val="hybridMultilevel"/>
    <w:tmpl w:val="14B6D85A"/>
    <w:lvl w:ilvl="0" w:tplc="6F8E2E04">
      <w:start w:val="5"/>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484C5EE">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0E693D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CC6A57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43C2C4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31235A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742D81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33C52C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D908CA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543D6CAA"/>
    <w:multiLevelType w:val="hybridMultilevel"/>
    <w:tmpl w:val="29F85AEC"/>
    <w:lvl w:ilvl="0" w:tplc="8EF86752">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32E9572">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994C91E">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7FA527E">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04C1D1E">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E9A3818">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044D3F0">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3507B2E">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C90067C">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9B4"/>
    <w:rsid w:val="002109B4"/>
    <w:rsid w:val="005B4532"/>
    <w:rsid w:val="006E6604"/>
    <w:rsid w:val="00A6171E"/>
    <w:rsid w:val="00A83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64747"/>
  <w15:docId w15:val="{DEB63102-CF5B-491E-8DF2-3B515A49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single" w:sz="8" w:space="0" w:color="000000"/>
        <w:left w:val="single" w:sz="8" w:space="0" w:color="000000"/>
        <w:bottom w:val="single" w:sz="8" w:space="0" w:color="000000"/>
        <w:right w:val="single" w:sz="8" w:space="0" w:color="000000"/>
      </w:pBdr>
      <w:spacing w:after="5" w:line="247" w:lineRule="auto"/>
      <w:ind w:left="44" w:hanging="10"/>
    </w:pPr>
    <w:rPr>
      <w:rFonts w:ascii="Times New Roman" w:eastAsia="Times New Roman" w:hAnsi="Times New Roman" w:cs="Times New Roman"/>
      <w:color w:val="000000"/>
      <w:sz w:val="19"/>
    </w:rPr>
  </w:style>
  <w:style w:type="paragraph" w:styleId="1">
    <w:name w:val="heading 1"/>
    <w:next w:val="a"/>
    <w:link w:val="10"/>
    <w:uiPriority w:val="9"/>
    <w:unhideWhenUsed/>
    <w:qFormat/>
    <w:pPr>
      <w:keepNext/>
      <w:keepLines/>
      <w:spacing w:after="8" w:line="250" w:lineRule="auto"/>
      <w:ind w:left="10" w:hanging="10"/>
      <w:outlineLvl w:val="0"/>
    </w:pPr>
    <w:rPr>
      <w:rFonts w:ascii="Times New Roman" w:eastAsia="Times New Roman" w:hAnsi="Times New Roman" w:cs="Times New Roman"/>
      <w:b/>
      <w:color w:val="000000"/>
      <w:sz w:val="1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image" Target="media/image0.jpg"/><Relationship Id="rId19" Type="http://schemas.openxmlformats.org/officeDocument/2006/relationships/header" Target="header7.xml"/><Relationship Id="rId4"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2879</Words>
  <Characters>16415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Четверкина Наталья Васильевна</dc:creator>
  <cp:keywords/>
  <cp:lastModifiedBy>Пивнева Галина Владимировна</cp:lastModifiedBy>
  <cp:revision>3</cp:revision>
  <dcterms:created xsi:type="dcterms:W3CDTF">2023-07-13T08:09:00Z</dcterms:created>
  <dcterms:modified xsi:type="dcterms:W3CDTF">2023-07-19T06:45:00Z</dcterms:modified>
</cp:coreProperties>
</file>